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WeinV 1995 — Verkehrsverbote bei vorverpackten aromatisierten Weinerzeugnissen und vorverpackten weinhaltigen Getränken (zu § 24 Absatz 2 und 3 Nummer 4 und 5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09.05.2021 (konsolidierte Textfassung, kein amtliches Inkrafttretensdatum)</w:t>
      </w:r>
    </w:p>
    <w:p>
      <w:r>
        <w:t xml:space="preserve">Es ist verboten,</w:t>
      </w:r>
    </w:p>
    <w:p>
      <w:pPr>
        <w:ind w:left="420"/>
      </w:pPr>
      <w:r>
        <w:t xml:space="preserve">1. vorverpackte aromatisierte Weinerzeugnisse oder vorverpackte weinhaltige Getränke in den Verkehr zu bringen, die den Anforderungen an die Kennzeichnung</w:t>
      </w:r>
    </w:p>
    <w:p>
      <w:pPr>
        <w:ind w:left="780"/>
      </w:pPr>
      <w:r>
        <w:t xml:space="preserve">a) nach Artikel 9 Absatz 1 Buchstabe c in Verbindung mit Artikel 21 Absatz 1 Unterabsatz 2 oder Unterabsatz 3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Fassung,</w:t>
      </w:r>
    </w:p>
    <w:p>
      <w:pPr>
        <w:ind w:left="780"/>
      </w:pPr>
      <w:r>
        <w:t xml:space="preserve">b) nach Artikel 9 Absatz 1 Buchstabe e in Verbindung mit Artikel 23 Absatz 1 der Verordnung (EU) Nr. 1169/2011,</w:t>
      </w:r>
    </w:p>
    <w:p>
      <w:pPr>
        <w:ind w:left="780"/>
      </w:pPr>
      <w:r>
        <w:t xml:space="preserve">c) nach Artikel 9 Absatz 1 Buchstabe h der Verordnung (EU) Nr. 1169/2011,</w:t>
      </w:r>
    </w:p>
    <w:p>
      <w:pPr>
        <w:ind w:left="780"/>
      </w:pPr>
      <w:r>
        <w:t xml:space="preserve">d) nach Artikel 9 Absatz 1 Buchstabe k in Verbindung mit Artikel 28 Absatz 2, dieser in Verbindung mit Anhang XII Satz 1 oder 2 erster Halbsatz und Satz 4 der Verordnung (EU) Nr. 1169/2011,</w:t>
      </w:r>
    </w:p>
    <w:p>
      <w:pPr>
        <w:ind w:left="780"/>
      </w:pPr>
      <w:r>
        <w:t xml:space="preserve">e) nach Artikel 9 Absatz 2 Satz 1, Artikel 12 Absatz 2 oder Artikel 13 Absatz 1 bis 3 der Verordnung (EU) Nr. 1169/2011 oder</w:t>
      </w:r>
    </w:p>
    <w:p>
      <w:pPr>
        <w:ind w:left="780"/>
      </w:pPr>
      <w:r>
        <w:t xml:space="preserve">f) nach Artikel 10 Absatz 1 in Verbindung mit Anhang III Nummer 4.1. der Verordnung (EU) Nr. 1169/2011</w:t>
      </w:r>
    </w:p>
    <w:p>
      <w:pPr>
        <w:ind w:left="420"/>
      </w:pPr>
      <w:r>
        <w:t xml:space="preserve">nicht entsprechen,</w:t>
      </w:r>
    </w:p>
    <w:p>
      <w:pPr>
        <w:ind w:left="420"/>
      </w:pPr>
      <w:r>
        <w:t xml:space="preserve">2. vorverpackte aromatisierte Weinerzeugnisse oder vorverpackte weinhaltige Getränke in den Verkehr zu bringen, für die die Angaben nach Artikel 14 Absatz 1 der Verordnung (EU) Nr. 1169/2011 nicht oder nicht in der vorgeschriebenen Art und Weise bereitgestellt werden.</w:t>
      </w:r>
    </w:p>
    <w:p>
      <w:r>
        <w:t xml:space="preserve">Satz 1 gilt auch, wenn die Angaben nach Satz 1 oder ein Zutatenverzeichnis nach Artikel 18 Absatz 1 Satz 2 der Verordnung (EU) Nr. 1169/2011 freiwillig bereitgestellt werden.</w:t>
      </w:r>
    </w:p>
    <w:p>
      <w:r>
        <w:rPr>
          <w:color w:val="555555"/>
          <w:sz w:val="17"/>
        </w:rPr>
        <w:t xml:space="preserve">Zitiervorschlag: § 46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