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WeinV 1995 — Nachweis des Vorliegens von Prioritätskriterien (zu § 7c Absatz 2 des Weingesetzes)</w:t>
      </w:r>
    </w:p>
    <w:p>
      <w:r>
        <w:rPr>
          <w:color w:val="555555"/>
          <w:sz w:val="18"/>
        </w:rPr>
        <w:t xml:space="preserve">Weinverordnung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Nachweis, dass das in § 7b Absatz 1 Satz 1 des Weingesetzes festgelegte Prioritätskriterium erfüllt ist, ist durch Vorlage</w:t>
      </w:r>
    </w:p>
    <w:p>
      <w:pPr>
        <w:ind w:left="420"/>
      </w:pPr>
      <w:r>
        <w:t xml:space="preserve">1. eines Auszugs aus der Weinbaukartei, sofern die jeweilige zu beantragende Fläche in der Weinbaukartei enthalten ist und die Weinbaukartei eine Aussage über die Hangneigung enthält, oder</w:t>
      </w:r>
    </w:p>
    <w:p>
      <w:pPr>
        <w:ind w:left="420"/>
      </w:pPr>
      <w:r>
        <w:t xml:space="preserve">2. einer Bescheinigung eines öffentlich bestellten Sachverständigen für Landvermessungen oder</w:t>
      </w:r>
    </w:p>
    <w:p>
      <w:pPr>
        <w:ind w:left="420"/>
      </w:pPr>
      <w:r>
        <w:t xml:space="preserve">3. eines Auszugs aus dem Landwirtschaftlichen Informations-System der Länder oder</w:t>
      </w:r>
    </w:p>
    <w:p>
      <w:pPr>
        <w:ind w:left="420"/>
      </w:pPr>
      <w:r>
        <w:t xml:space="preserve">4. einer Bescheinigung einer für die Landvermessung oder die Führung des Liegenschaftskatasters zuständigen Landesbehörde</w:t>
      </w:r>
    </w:p>
    <w:p>
      <w:r>
        <w:t xml:space="preserve">zu erbringen.</w:t>
      </w:r>
    </w:p>
    <w:p>
      <w:r>
        <w:t xml:space="preserve">(2) Es ist die durchschnittliche Hangneigung des Flurstücks der zur Bepflanzung beantragten Fläche zu ermitteln.</w:t>
      </w:r>
    </w:p>
    <w:p>
      <w:r>
        <w:rPr>
          <w:color w:val="555555"/>
          <w:sz w:val="17"/>
        </w:rPr>
        <w:t xml:space="preserve">Zitiervorschlag: § 4 WeinV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https://recht.nulegal.eu/gesetze/WeinV%201995/4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