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39a WeinV 1995 — Geografische Bezeichnungen mit EU-Schutz (zu § 22c Absatz 8 Nummer 3, den §§ 22d und 24 Absatz 2 Nummer 1 und 2 des Weingesetzes)</w:t>
      </w:r>
    </w:p>
    <w:p>
      <w:r>
        <w:rPr>
          <w:color w:val="555555"/>
          <w:sz w:val="18"/>
        </w:rPr>
        <w:t xml:space="preserve">Weinverordnung</w:t>
      </w:r>
    </w:p>
    <w:p>
      <w:r>
        <w:rPr>
          <w:color w:val="555555"/>
          <w:sz w:val="18"/>
        </w:rPr>
        <w:t xml:space="preserve">Stand: 28.06.2024 (konsolidierte Textfassung, kein amtliches Inkrafttretensdatum)</w:t>
      </w:r>
    </w:p>
    <w:p>
      <w:r>
        <w:t xml:space="preserve">(1) Für einen Wein oder eine Gesamtheit von Weinen kann ein Antrag auf den Schutz einer Ursprungsbezeichnung oder einer geografischen Angabe nur gestellt werden, wenn der Wein oder die Gesamtheit der Weine die Anforderungen nach den Absätzen 2 und 3 erfüllt.</w:t>
      </w:r>
    </w:p>
    <w:p>
      <w:r>
        <w:t xml:space="preserve">(2) Für den Schutz einer Ursprungsbezeichnung im Sinne des Artikels 93 Absatz 1 Buchstabe a der Verordnung (EU) Nr. 1308/2013 müssen folgende Anforderungen erfüllt sein:</w:t>
      </w:r>
    </w:p>
    <w:p>
      <w:pPr>
        <w:ind w:left="420"/>
      </w:pPr>
      <w:r>
        <w:t xml:space="preserve">1. bei der Festsetzung des Hektarertrages werden die Erträge der sieben vorhergehenden Jahre berücksichtigt; übersteigt in einem Betrieb die Erntemenge den Gesamthektarertrag, gelten die §§ 10 und 11 des Weingesetzes entsprechend;</w:t>
      </w:r>
    </w:p>
    <w:p>
      <w:pPr>
        <w:ind w:left="420"/>
      </w:pPr>
      <w:r>
        <w:t xml:space="preserve">2. der natürliche Alkoholgehalt des Weines darf vorbehaltlich einer Verordnung gemäß § 17 Absatz 3 des Weingesetzes bei anderem als Prädikatswein in der Weinbauzone A 7,0 und in der Weinbauzone B 8,0 und bei Prädikatswein in der Weinbauzone A 9,5 und in der Weinbauzone B 10,0 Volumenprozent nicht unterschreiten sowie</w:t>
      </w:r>
    </w:p>
    <w:p>
      <w:pPr>
        <w:ind w:left="420"/>
      </w:pPr>
      <w:r>
        <w:t xml:space="preserve">3. dem Wein muss eine amtliche Prüfungsnummer im Sinne des § 19 oder § 20 des Weingesetzes zugeteilt sein.</w:t>
      </w:r>
    </w:p>
    <w:p>
      <w:r>
        <w:t xml:space="preserve">Absatz 2 Satz 1 Nummer 1 gilt entsprechend, wenn im Rahmen eines Antrags nach Artikel 24 der Verordnung (EU) 2024/1143 des Europäischen Parlaments und des Rates vom 11. April 2024 über geografische Angaben für Wein, Spirituosen und landwirtschaftliche Erzeugnisse und über garantiert traditionelle Spezialitäten und fakultative Qualitätsangaben für landwirtschaftliche Erzeugnisse sowie zur Änderung der Verordnungen (EU) Nr. 1308/2013, (EU) 2019/787 und (EU) 2019/1753 und zur Aufhebung der Verordnung (EU) Nr. 1151/2012 (ABl. L, 2024/1143, 23.4.2024) in der jeweils geltenden Fassung die Produktspezifikation der jeweiligen geschützten Ursprungsbezeichnung im Hinblick auf den Hektarertrag geändert werden soll.</w:t>
      </w:r>
    </w:p>
    <w:p>
      <w:r>
        <w:t xml:space="preserve">(3) Für den Schutz einer geografischen Angabe im Sinne des Artikels 93 Absatz 1 Buchstabe b der Verordnung (EU) Nr. 1308/2013 müssen folgende Anforderungen erfüllt sein:</w:t>
      </w:r>
    </w:p>
    <w:p>
      <w:pPr>
        <w:ind w:left="420"/>
      </w:pPr>
      <w:r>
        <w:t xml:space="preserve">1. bei der Festsetzung des Hektarertrages werden die Erträge der fünf vorhergehenden Jahre berücksichtigt; übersteigt in einem Betrieb die Erntemenge den Gesamthektarertrag, gelten die §§ 10 und 11 des Weingesetzes entsprechend;</w:t>
      </w:r>
    </w:p>
    <w:p>
      <w:pPr>
        <w:ind w:left="420"/>
      </w:pPr>
      <w:r>
        <w:t xml:space="preserve">2. der natürliche Alkoholgehalt des Weines darf in der Weinbauzone A 6,0 und in der Weinbauzone B 6,5 Volumenprozent nicht unterschreiten sowie</w:t>
      </w:r>
    </w:p>
    <w:p>
      <w:pPr>
        <w:ind w:left="420"/>
      </w:pPr>
      <w:r>
        <w:t xml:space="preserve">3. die Anforderungen des § 22 Absatz 1 Nummer 2 und 3 des Weingesetzes sowie des § 15 Absatz 3 Nummer 1 und des § 16 Absatz 1a und 2 sind einzuhalten.</w:t>
      </w:r>
    </w:p>
    <w:p>
      <w:r>
        <w:t xml:space="preserve">Absatz 3 Satz 1 Nummer 1 gilt entsprechend, wenn im Rahmen eines Antrags nach Artikel 24 der Verordnung (EU) 2024/1143 die Produktspezifikation der jeweiligen geschützten geografischen Angabe im Hinblick auf den Hektarertrag geändert werden soll.</w:t>
      </w:r>
    </w:p>
    <w:p>
      <w:r>
        <w:rPr>
          <w:color w:val="555555"/>
          <w:sz w:val="17"/>
        </w:rPr>
        <w:t xml:space="preserve">Zitiervorschlag: § 39a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