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WeinV 1995 — Geografische Angaben (zu § 24 Absatz 2 und 3 Nummer 4 und 5 in Verbindung mit § 54 Absatz 1 des Weingesetzes)</w:t>
      </w:r>
    </w:p>
    <w:p>
      <w:r>
        <w:rPr>
          <w:color w:val="555555"/>
          <w:sz w:val="18"/>
        </w:rPr>
        <w:t xml:space="preserve">Weinverordnung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(1) Wird zur Bezeichnung eines Qualitätsweines, Prädikatsweines, Sekts b.A., Qualitätslikörweines b.A. oder Qualitätsperlweines b.A. durch den nach Artikel 8 Absatz 1 der Verordnung (EU) Nr. 1169/2011 verantwortlichen Lebensmittelunternehmer beim Inverkehrbringen der Name</w:t>
      </w:r>
    </w:p>
    <w:p>
      <w:pPr>
        <w:ind w:left="420"/>
      </w:pPr>
      <w:r>
        <w:t xml:space="preserve">1. eines Bereichs oder einer Großlage verwendet, ist diesem deutlich lesbar und unverwischbar in gleicher Farbe, Schriftart und Schriftgröße stets die Bezeichnung „Region“ unmittelbar voranzustellen,</w:t>
      </w:r>
    </w:p>
    <w:p>
      <w:pPr>
        <w:ind w:left="420"/>
      </w:pPr>
      <w:r>
        <w:t xml:space="preserve">2. einer Gemeinde oder eines Ortsteils verwendet,</w:t>
      </w:r>
    </w:p>
    <w:p>
      <w:pPr>
        <w:ind w:left="780"/>
      </w:pPr>
      <w:r>
        <w:t xml:space="preserve">a) muss der Traubenmost oder die Maische im gärfähig befüllten Behältnis mindestens den für das Prädikat Kabinett vorgeschriebenen natürlichen Mindestalkoholgehalt aufgewiesen haben und</w:t>
      </w:r>
    </w:p>
    <w:p>
      <w:pPr>
        <w:ind w:left="780"/>
      </w:pPr>
      <w:r>
        <w:t xml:space="preserve">b) darf das Erzeugnis nicht vor dem 15. Dezember des Erntejahrgangs der verwendeten Trauben an Endverbraucher abgegeben werden,</w:t>
      </w:r>
    </w:p>
    <w:p>
      <w:pPr>
        <w:ind w:left="420"/>
      </w:pPr>
      <w:r>
        <w:t xml:space="preserve">3. einer Einzellage oder einer kleineren geografischen Einheit nach § 23 Absatz 1 Nummer 2 des Weingesetzes verwendet,</w:t>
      </w:r>
    </w:p>
    <w:p>
      <w:pPr>
        <w:ind w:left="780"/>
      </w:pPr>
      <w:r>
        <w:t xml:space="preserve">a) ist diesem deutlich lesbar und unverwischbar in gleicher Farbe und in einer Schriftgröße, bei der die Buchstaben unabhängig von der verwendeten Schriftart mindestens 1,2 Millimeter groß sind, stets der Gemeinde- oder Ortsteilname unmittelbar voranzustellen oder anzufügen,</w:t>
      </w:r>
    </w:p>
    <w:p>
      <w:pPr>
        <w:ind w:left="780"/>
      </w:pPr>
      <w:r>
        <w:t xml:space="preserve">b) darf das Erzeugnis nicht vor dem 1. März des auf den Erntejahrgang der verwendeten Trauben folgenden Kalenderjahres an Endverbraucher abgegeben werden,</w:t>
      </w:r>
    </w:p>
    <w:p>
      <w:pPr>
        <w:ind w:left="780"/>
      </w:pPr>
      <w:r>
        <w:t xml:space="preserve">c) darf das Erzeugnis mit Ausnahme der zur Süßung verwendeten Erzeugnisse nur aus einer in der jeweiligen Produktspezifikation dafür festgelegten Rebsorte oder mehreren solcher Rebsorten hergestellt worden sein,</w:t>
      </w:r>
    </w:p>
    <w:p>
      <w:pPr>
        <w:ind w:left="780"/>
      </w:pPr>
      <w:r>
        <w:t xml:space="preserve">d) muss der Traubenmost oder die Maische im gärfähig befüllten Behältnis mindestens den für das Prädikat Kabinett vorgeschriebenen natürlichen Mindestalkoholgehalt aufgewiesen haben.</w:t>
      </w:r>
    </w:p>
    <w:p>
      <w:r>
        <w:t xml:space="preserve">In den jeweiligen Produktspezifikationen können strengere und insbesondere hinsichtlich des Hektarertrages weitere Anforderungen als die in Satz 1 vorgesehenen festgelegt werden.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39 WeinV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https://recht.nulegal.eu/gesetze/WeinV%201995/39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