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34a WeinV 1995 — Crémant, Winzersekt (zu § 24 Absatz 2, auch i. V. m. § 54 Absatz 1 des Weingesetzes)</w:t>
      </w:r>
    </w:p>
    <w:p>
      <w:r>
        <w:rPr>
          <w:color w:val="555555"/>
          <w:sz w:val="18"/>
        </w:rPr>
        <w:t xml:space="preserve">Weinverordnung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(1) Bei einem Sekt b.A. darf die Angabe „Crémant“ nur gebraucht werden, wenn</w:t>
      </w:r>
    </w:p>
    <w:p>
      <w:pPr>
        <w:ind w:left="420"/>
      </w:pPr>
      <w:r>
        <w:t xml:space="preserve">1. die Voraussetzungen nach Artikel 53 Absatz 5 der Delegierten Verordnung (EU) 2019/33 erfüllt sind,</w:t>
      </w:r>
    </w:p>
    <w:p>
      <w:pPr>
        <w:ind w:left="420"/>
      </w:pPr>
      <w:r>
        <w:t xml:space="preserve">2. der Name der geschützten Ursprungsbezeichnung angegeben ist und</w:t>
      </w:r>
    </w:p>
    <w:p>
      <w:pPr>
        <w:ind w:left="420"/>
      </w:pPr>
      <w:r>
        <w:t xml:space="preserve">3. die Vermarktung in der in § 33a Absatz 2 vorgeschriebenen Aufmachung erfolgt.</w:t>
      </w:r>
    </w:p>
    <w:p>
      <w:r>
        <w:t xml:space="preserve">(2) In der jeweiligen Produktspezifikation können zusätzliche und strengere Anforderungen für die Verwendung der Bezeichnung „Crémant“ festgelegt werden, soweit dies erforderlich ist, um regionalen Gegebenheiten Rechnung zu tragen.</w:t>
      </w:r>
    </w:p>
    <w:p>
      <w:r>
        <w:t xml:space="preserve">(3) Ein Sekt b.A. darf unter der Bezeichnung „Winzersekt“ nur in Verkehr gebracht werden, wenn folgende Anforderungen erfüllt sind:</w:t>
      </w:r>
    </w:p>
    <w:p>
      <w:pPr>
        <w:ind w:left="420"/>
      </w:pPr>
      <w:r>
        <w:t xml:space="preserve">1. Herstellung aus einem Qualitätswein geeigneten Wein, der aus Trauben hergestellt ist, die</w:t>
      </w:r>
    </w:p>
    <w:p>
      <w:pPr>
        <w:ind w:left="780"/>
      </w:pPr>
      <w:r>
        <w:t xml:space="preserve">a) in demselben Weinbaubetrieb geerntet wurden, in dem der Hersteller im Sinne des Artikels 46 Absatz 1 Buchstabe c der Delegierten Verordnung (EU) 2019/33 die Verarbeitung der Trauben zu Wein durchführt, oder</w:t>
      </w:r>
    </w:p>
    <w:p>
      <w:pPr>
        <w:ind w:left="780"/>
      </w:pPr>
      <w:r>
        <w:t xml:space="preserve">b) sofern eine Erzeugergemeinschaft der Hersteller des Sektes b.A. ist, der Wein aus Trauben gewonnen worden ist, die in den zusammengeschlossenen Weinbaubetrieben erzeugt worden sind,</w:t>
      </w:r>
    </w:p>
    <w:p>
      <w:pPr>
        <w:ind w:left="420"/>
      </w:pPr>
      <w:r>
        <w:t xml:space="preserve">2. Herstellung unter Anwendung des Verfahrens traditioneller, klassischer Flaschengärung:</w:t>
      </w:r>
    </w:p>
    <w:p>
      <w:pPr>
        <w:ind w:left="780"/>
      </w:pPr>
      <w:r>
        <w:t xml:space="preserve">a) durch eine zweite alkoholische Gärung in der Flasche,</w:t>
      </w:r>
    </w:p>
    <w:p>
      <w:pPr>
        <w:ind w:left="780"/>
      </w:pPr>
      <w:r>
        <w:t xml:space="preserve">b) vom Zeitpunkt der Bereitung der Cuvée an mindestens neun Monate lang ununterbrochen in demselben Betrieb auf seinem Trub gelagert sowie</w:t>
      </w:r>
    </w:p>
    <w:p>
      <w:pPr>
        <w:ind w:left="780"/>
      </w:pPr>
      <w:r>
        <w:t xml:space="preserve">c) durch Degorgieren von seinem Trub getrennt,</w:t>
      </w:r>
    </w:p>
    <w:p>
      <w:pPr>
        <w:ind w:left="420"/>
      </w:pPr>
      <w:r>
        <w:t xml:space="preserve">3. Kennzeichnung unter Angabe des Weinbaubetriebes oder der Erzeugergemeinschaft, der Rebsorte und des Jahrgangs sowie</w:t>
      </w:r>
    </w:p>
    <w:p>
      <w:pPr>
        <w:ind w:left="420"/>
      </w:pPr>
      <w:r>
        <w:t xml:space="preserve">4. Vermarktung durch den Hersteller in der in § 33a Absatz 2 vorgeschriebenen Aufmachung.</w:t>
      </w:r>
    </w:p>
    <w:p>
      <w:r>
        <w:rPr>
          <w:color w:val="555555"/>
          <w:sz w:val="17"/>
        </w:rPr>
        <w:t xml:space="preserve">Zitiervorschlag: § 34a WeinV 1995</w:t>
      </w:r>
    </w:p>
    <w:p>
      <w:r>
        <w:rPr>
          <w:color w:val="555555"/>
          <w:sz w:val="17"/>
        </w:rPr>
        <w:t xml:space="preserve">Quelle: Bundesamt für Justiz, abgerufen 02.09.2026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https://recht.nulegal.eu/gesetze/WeinV%201995/34a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34a WeinV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