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WeinV 1995 — Riesling-Hochgewächs; Der Neue; primeur (zu § 24 Absatz 2 des Weingesetzes)</w:t>
      </w:r>
    </w:p>
    <w:p>
      <w:r>
        <w:rPr>
          <w:color w:val="555555"/>
          <w:sz w:val="18"/>
        </w:rPr>
        <w:t xml:space="preserve">Weinverordnung</w:t>
      </w:r>
    </w:p>
    <w:p>
      <w:r>
        <w:rPr>
          <w:color w:val="555555"/>
          <w:sz w:val="18"/>
        </w:rPr>
        <w:t xml:space="preserve">Stand: 10.06.2019 (konsolidierte Textfassung, kein amtliches Inkrafttretensdatum)</w:t>
      </w:r>
    </w:p>
    <w:p>
      <w:r>
        <w:t xml:space="preserve">(1) Weißer Qualitätswein darf als "Riesling-Hochgewächs" nur bezeichnet werden, wenn</w:t>
      </w:r>
    </w:p>
    <w:p>
      <w:pPr>
        <w:ind w:left="420"/>
      </w:pPr>
      <w:r>
        <w:t xml:space="preserve">1. er ausschließlich aus Weintrauben der Rebsorte Riesling hergestellt worden ist,</w:t>
      </w:r>
    </w:p>
    <w:p>
      <w:pPr>
        <w:ind w:left="420"/>
      </w:pPr>
      <w:r>
        <w:t xml:space="preserve">2. der zur Herstellung verwendete Most einen natürlichen Alkoholgehalt aufgewiesen hat, der mindestens 1,5 Volumenprozent über dem natürlichen Mindestalkoholgehalt liegt, der für das bestimmte Anbaugebiet oder dessen Teil vorgeschrieben ist, in dem die Weintrauben geerntet worden sind, und</w:t>
      </w:r>
    </w:p>
    <w:p>
      <w:pPr>
        <w:ind w:left="420"/>
      </w:pPr>
      <w:r>
        <w:t xml:space="preserve">3. er in der amtlichen Qualitätsprüfung eine Qualitätszahl von mindestens 3,0 erreicht hat.</w:t>
      </w:r>
    </w:p>
    <w:p>
      <w:r>
        <w:t xml:space="preserve">(2) Für Landwein, der ausschließlich aus Weintrauben eines Erntejahres gewonnen wurde, darf die Bezeichnung "Der Neue" nur verwendet werden, wenn das Erntejahr angegeben ist und er nicht vor dem 1. November des Erntejahres an Endverbraucher abgegeben wird.</w:t>
      </w:r>
    </w:p>
    <w:p>
      <w:r>
        <w:t xml:space="preserve">(3) Für einen Wein der geschützten Ursprungsbezeichnung Beaujolais, für den die geltenden Vorschriften des Herstellungslandes eingehalten worden sind und der nach diesen Vorschriften als primeur bezeichnet werden soll, darf die Bezeichnung primeur nur verwendet werden, wenn er nicht vor dem dritten Donnerstag des Monats November des Erntejahres an Endverbraucher abgegeben wird.</w:t>
      </w:r>
    </w:p>
    <w:p>
      <w:r>
        <w:rPr>
          <w:color w:val="555555"/>
          <w:sz w:val="17"/>
        </w:rPr>
        <w:t xml:space="preserve">Zitiervorschlag: § 34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