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32d WeinV 1995 — Abweichungen; Ausnahmen (zu § 24 Absatz 2 Nummer 1 bis 3 des Weingesetzes)</w:t>
      </w:r>
    </w:p>
    <w:p>
      <w:r>
        <w:rPr>
          <w:color w:val="555555"/>
          <w:sz w:val="18"/>
        </w:rPr>
        <w:t xml:space="preserve">Weinverordnung</w:t>
      </w:r>
    </w:p>
    <w:p>
      <w:r>
        <w:rPr>
          <w:color w:val="555555"/>
          <w:sz w:val="18"/>
        </w:rPr>
        <w:t xml:space="preserve">Außer Kraft: § 32d ist seit 02.09.2026 nicht mehr im WeinV 1995 enthalten. Angezeigt wird die letzte bekannte Fassung, Stand 10.06.2019.</w:t>
      </w:r>
    </w:p>
    <w:p>
      <w:r>
        <w:t xml:space="preserve">(1) Abweichend von</w:t>
      </w:r>
    </w:p>
    <w:p>
      <w:pPr>
        <w:ind w:left="420"/>
      </w:pPr>
      <w:r>
        <w:t xml:space="preserve">1. § 32a Nummer 1 dürfen bei einem als „Classic“ bezeichneten Qualitätswein aus im bestimmten Anbaugebiet Württemberg geernteten Weintrauben die Rebsorten Trollinger und Lemberger angegeben werden, soweit diese Rebsorten durch Rechtsverordnung nach § 32c Absatz 2 festgelegt worden sind; diese Rebsorten müssen in Verbindung mit der Bezeichnung „Classic“ angegeben werden,</w:t>
      </w:r>
    </w:p>
    <w:p>
      <w:pPr>
        <w:ind w:left="420"/>
      </w:pPr>
      <w:r>
        <w:t xml:space="preserve">2. den §§ 32a bis 32c Absatz 1 darf die Bezeichnung „Classic“ von einem Abfüller für andere als die dort genannten Qualitätsweine und für Prädikatsweine bis zum Ablauf des 31. Dezember 2020 weiterverwendet werden, wenn er sie vor dem 6. Dezember 2000 in Übereinstimmung mit den maßgeblichen Rechtsakten der Europäischen Gemeinschaft verwendet hat.</w:t>
      </w:r>
    </w:p>
    <w:p>
      <w:r>
        <w:t xml:space="preserve">(2) (weggefallen)</w:t>
      </w:r>
    </w:p>
    <w:p>
      <w:r>
        <w:t xml:space="preserve">(3) Die Bezeichnung „Classic“ darf von einem Hersteller oder Verkäufer für Qualitätsschaumwein, bei dem nach den Rechtsakten der Europäischen Gemeinschaft die Angabe Deutschland oder deutsch oder der Name einer kleineren geografischen Einheit als Deutschland verwendet wird, oder für deutschen Sekt b.A., deren zur Bereitung der Cuvée verwendete Erzeugnisse die Anforderungen nach den §§ 32a bis 32c nicht erfüllen, bis zum 31. Dezember 2015 weiterverwendet werden, wenn er sie vor dem 6. Dezember 2000 in Übereinstimmung mit den maßgeblichen Rechtsakten der Europäischen Gemeinschaft verwendet hat.</w:t>
      </w:r>
    </w:p>
    <w:p>
      <w:r>
        <w:t xml:space="preserve">(4) (weggefallen)</w:t>
      </w:r>
    </w:p>
    <w:p>
      <w:r>
        <w:t xml:space="preserve">(5) Qualitätswein, der nach den bis zum 8. Juli 2002 geltenden Vorschriften als „Classic“ gekennzeichnet ist, darf noch bis zum Aufbrauchen der Bestände in den Verkehr gebracht werden.</w:t>
      </w:r>
    </w:p>
    <w:p>
      <w:r>
        <w:rPr>
          <w:color w:val="555555"/>
          <w:sz w:val="17"/>
        </w:rPr>
        <w:t xml:space="preserve">Zitiervorschlag: § 32d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https://recht.nulegal.eu/gesetze/WeinV%201995/32d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