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32c WeinV 1995 — Weitere Bestimmungen für Classic (zu § 16 Absatz 2 Satz 1 und § 24 Absatz 2 Nummer 1 bis 3, dieser i.V.m. § 54 Absatz 1 des Weingesetzes)</w:t>
      </w:r>
    </w:p>
    <w:p>
      <w:r>
        <w:rPr>
          <w:color w:val="555555"/>
          <w:sz w:val="18"/>
        </w:rPr>
        <w:t xml:space="preserve">Weinverordnung</w:t>
      </w:r>
    </w:p>
    <w:p>
      <w:r>
        <w:rPr>
          <w:color w:val="555555"/>
          <w:sz w:val="18"/>
        </w:rPr>
        <w:t xml:space="preserve">Außer Kraft: § 32c ist seit 02.09.2026 nicht mehr im WeinV 1995 enthalten. Angezeigt wird die letzte bekannte Fassung, Stand 10.06.2019.</w:t>
      </w:r>
    </w:p>
    <w:p>
      <w:r>
        <w:t xml:space="preserve">(1) Die in § 32a genannte Bezeichnung darf ferner nur verwendet werden, wenn</w:t>
      </w:r>
    </w:p>
    <w:p>
      <w:pPr>
        <w:ind w:left="420"/>
      </w:pPr>
      <w:r>
        <w:t xml:space="preserve">1. der Wein abgefüllt in den Verkehr gebracht wird, der Abfüller, soweit die zur Herstellung des Weines verwendeten Trauben nicht in seinem Weinbaubetrieb geerntet und dort zu Wein bereitet worden sind, der nach Landesrecht zuständigen Stelle bis zum 1. September eines jeden Jahres den Abschluss einer zwischen ihm und einem Weinbaubetrieb oder einem Zusammenschluss von Weinbaubetrieben (Betrieb) getroffenen Vereinbarung angezeigt hat, die mindestens Folgendes enthält:</w:t>
      </w:r>
    </w:p>
    <w:p>
      <w:pPr>
        <w:ind w:left="780"/>
      </w:pPr>
      <w:r>
        <w:t xml:space="preserve">a) Name und Anschrift der Vertragsparteien,</w:t>
      </w:r>
    </w:p>
    <w:p>
      <w:pPr>
        <w:ind w:left="780"/>
      </w:pPr>
      <w:r>
        <w:t xml:space="preserve">b) Laufzeit des Vertrages,</w:t>
      </w:r>
    </w:p>
    <w:p>
      <w:pPr>
        <w:ind w:left="780"/>
      </w:pPr>
      <w:r>
        <w:t xml:space="preserve">c) Verpflichtung des Betriebs zur Lieferung einer bestimmten Mindestmenge an Trauben, Maische, Traubenmost oder Wein aus der Ernte des jeweiligen Jahres,</w:t>
      </w:r>
    </w:p>
    <w:p>
      <w:pPr>
        <w:ind w:left="780"/>
      </w:pPr>
      <w:r>
        <w:t xml:space="preserve">d) Verpflichtung des Abfüllers zur Abnahme einer bestimmten Mindestmenge an Trauben, Maische, Traubenmost oder Wein aus der Ernte des jeweiligen Jahres,</w:t>
      </w:r>
    </w:p>
    <w:p>
      <w:pPr>
        <w:ind w:left="420"/>
      </w:pPr>
      <w:r>
        <w:t xml:space="preserve">2. der in Nummer 1 genannte Abfüller die dort in Buchstabe d genannten Erzeugnisse entsprechend der eingegangenen Verpflichtung abgenommen hat,</w:t>
      </w:r>
    </w:p>
    <w:p>
      <w:pPr>
        <w:ind w:left="420"/>
      </w:pPr>
      <w:r>
        <w:t xml:space="preserve">3. der Wein von einem in Nummer 1 genannten Abfüller abgefüllt in den Verkehr gebracht wird, die zu seiner Herstellung verwendeten Erzeugnisse mit Ausnahme der zur Süßung verwendeten Erzeugnisse Gegenstand einer Vereinbarung nach Nummer 1 gewesen sind.</w:t>
      </w:r>
    </w:p>
    <w:p>
      <w:r>
        <w:t xml:space="preserve">(1a) Abweichend von Absatz 1 Nummer 1 bis 3 darf die in § 32a genannte Bezeichnung in dem Fall, dass der Abfüller die zur Herstellung des Weines verwendeten Trauben nicht in seinem Betrieb geerntet und zu Wein bereitet hat, verwendet werden, wenn der Abfüller den Wein oder die zu seiner Herstellung verwendeten Erzeugnisse als Erzeugnisse, die in der Weinbuchführung und den Begleitpapieren als zur Verwendung der Bezeichnung „Classic“ geeignet bezeichnet werden, erworben hat von</w:t>
      </w:r>
    </w:p>
    <w:p>
      <w:pPr>
        <w:ind w:left="420"/>
      </w:pPr>
      <w:r>
        <w:t xml:space="preserve">1. einem Betrieb, der eine den Anforderungen nach Absatz 1 entsprechende Vereinbarung mit einem Weinbaubetrieb oder einem Zusammenschluss von Weinbaubetrieben abgeschlossen hat, den Abschluss der zuständigen Behörde innerhalb der in Absatz 1 bestimmten Frist angezeigt und die in der Vereinbarung genannten Erzeugnisse entsprechend der eingegangenen Verpflichtung abgenommen hat,</w:t>
      </w:r>
    </w:p>
    <w:p>
      <w:pPr>
        <w:ind w:left="420"/>
      </w:pPr>
      <w:r>
        <w:t xml:space="preserve">2. einer Erzeugergemeinschaft, die nach dem Marktstrukturgesetz anerkannt ist und das jeweilige Erzeugnis ausschließlich aus Trauben ihrer Mitgliedsbetriebe hergestellt hat, oder</w:t>
      </w:r>
    </w:p>
    <w:p>
      <w:pPr>
        <w:ind w:left="420"/>
      </w:pPr>
      <w:r>
        <w:t xml:space="preserve">3. – soweit sonstige Betriebe beteiligt sind und mehrere Erwerbsgeschäfte vorliegen – einem sonstigen Betrieb, sofern es sich beim ersten Erwerbsgeschäft, an dem ein sonstiger Betrieb beteiligt ist, um eine Abgabe durch einen unter Nummer 1 oder 2 genannten Betrieb handelt.</w:t>
      </w:r>
    </w:p>
    <w:p>
      <w:r>
        <w:t xml:space="preserve">(2) Um sicherzustellen, dass für die Herstellung von Wein mit der Angabe "Classic" nur für das jeweilige bestimmte Anbaugebiet typische klassische Rebsorten verwandt werden, legen die Landesregierungen durch Rechtsverordnung die jeweils zulässigen Rebsorten fest. Dabei kann vorgeschrieben werden, dass ausschließlich bestimmte Rebsortennamen oder synonyme Bezeichnungen verwendet werden dürfen.</w:t>
      </w:r>
    </w:p>
    <w:p>
      <w:r>
        <w:t xml:space="preserve">(3) Die Landesregierungen können durch Rechtsverordnung vorschreiben, dass</w:t>
      </w:r>
    </w:p>
    <w:p>
      <w:pPr>
        <w:ind w:left="420"/>
      </w:pPr>
      <w:r>
        <w:t xml:space="preserve">1. die in Absatz 1 Nummer 1 genannte Vereinbarung weitere Bestandteile enthalten muss,</w:t>
      </w:r>
    </w:p>
    <w:p>
      <w:pPr>
        <w:ind w:left="420"/>
      </w:pPr>
      <w:r>
        <w:t xml:space="preserve">2. abweichend von § 32a Nummer 5 zur Angabe der Herkunft der Name eines Bereiches zu verwenden ist.</w:t>
      </w:r>
    </w:p>
    <w:p>
      <w:r>
        <w:t xml:space="preserve">(4) (weggefallen)</w:t>
      </w:r>
    </w:p>
    <w:p>
      <w:r>
        <w:t xml:space="preserve">(5) (weggefallen)</w:t>
      </w:r>
    </w:p>
    <w:p>
      <w:r>
        <w:rPr>
          <w:color w:val="555555"/>
          <w:sz w:val="17"/>
        </w:rPr>
        <w:t xml:space="preserve">Zitiervorschlag: § 32c WeinV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https://recht.nulegal.eu/gesetze/WeinV%201995/32c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