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WeinV 1995 — Formular für Anträge auf Genehmigung einer Neuanpflanzung (zu § 7c Absatz 2 des Weingesetzes)</w:t>
      </w:r>
    </w:p>
    <w:p>
      <w:r>
        <w:rPr>
          <w:color w:val="555555"/>
          <w:sz w:val="18"/>
        </w:rPr>
        <w:t xml:space="preserve">Weinverordnung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Anträge nach § 7c Absatz 1 Satz 1 des Weingesetzes sind auf dem von der Bundesanstalt für Landwirtschaft und Ernährung bereitgestellten Formular zu stellen. Das Formular kann auch elektronisch bereitgestellt sein.</w:t>
      </w:r>
    </w:p>
    <w:p>
      <w:r>
        <w:rPr>
          <w:color w:val="555555"/>
          <w:sz w:val="17"/>
        </w:rPr>
        <w:t xml:space="preserve">Zitiervorschlag: § 3 WeinV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https://recht.nulegal.eu/gesetze/WeinV%201995/3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