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WeinV 1995 — Prüfungsverfahren (zu § 16 Absatz 2 Satz 1, § 17 Absatz 2 Nummer 2 und § 21 Absatz 1 Nummer 3 und 6 des Weingesetzes)</w:t>
      </w:r>
    </w:p>
    <w:p>
      <w:r>
        <w:rPr>
          <w:color w:val="555555"/>
          <w:sz w:val="18"/>
        </w:rPr>
        <w:t xml:space="preserve">Weinverordnung</w:t>
      </w:r>
    </w:p>
    <w:p>
      <w:r>
        <w:rPr>
          <w:color w:val="555555"/>
          <w:sz w:val="18"/>
        </w:rPr>
        <w:t xml:space="preserve">Stand: 10.11.2021 (konsolidierte Textfassung, kein amtliches Inkrafttretensdatum)</w:t>
      </w:r>
    </w:p>
    <w:p>
      <w:r>
        <w:t xml:space="preserve">(1) Die zuständige Stelle hat eine Sinnenprüfung zu veranlassen, sofern nicht bereits auf Grund der vorliegenden Unterlagen der Antrag zurückzuweisen oder abzulehnen ist. Sie trifft ihre Entscheidung nach Überprüfung der eingereichten Unterlagen und dem Ergebnis der Sinnenprüfung. Sie kann</w:t>
      </w:r>
    </w:p>
    <w:p>
      <w:pPr>
        <w:ind w:left="420"/>
      </w:pPr>
      <w:r>
        <w:t xml:space="preserve">1. eine andere Einstufung als die beantragte vornehmen,</w:t>
      </w:r>
    </w:p>
    <w:p>
      <w:pPr>
        <w:ind w:left="420"/>
      </w:pPr>
      <w:r>
        <w:t xml:space="preserve">2. eine nochmalige oder eine weitergehende Untersuchung veranlassen sowie</w:t>
      </w:r>
    </w:p>
    <w:p>
      <w:pPr>
        <w:ind w:left="420"/>
      </w:pPr>
      <w:r>
        <w:t xml:space="preserve">3. die Vorlage weiterer sachdienlicher Unterlagen verlangen.</w:t>
      </w:r>
    </w:p>
    <w:p>
      <w:r>
        <w:t xml:space="preserve">Für die Sinnenprüfung und ihre Bewertung gilt das in Anlage 9 Abschnitt II angegebene Schema. Eine weitergehende Untersuchung im Sinne des Satzes 3 Nummer 2 kann in einer Analyse des Gehalts an flüchtiger Säure bestehen. Die zuständige Stelle veranlasst stichprobenweise oder unter Anwendung des Zufallsprinzips Analysen zur Feststellung des Gehalts an flüchtiger Säure zur Durchführung der Bestimmungen des Artikels 19 in Verbindung mit Artikel 20 der Durchführungsverordnung (EU) 2019/34 der Kommission vom 17. Oktober 2018 mit Durchführungsbestimmungen zur Verordnung (EU) Nr. 1308/2013 des Europäischen Parlaments und des Rates in Bezug auf Anträge auf Schutz von Ursprungsbezeichnungen, geografischen Angaben und traditionellen Begriffen im Weinsektor, das Einspruchsverfahren, Änderungen der Produktspezifikationen, das Register der geschützten Bezeichnungen, die Löschung des Schutzes und die Verwendung von Zeichen sowie zur Verordnung (EU) Nr. 1306/2013 des Europäischen Parlaments und des Rates in Bezug auf ein geeignetes Kontrollsystem (ABl. L 9 vom 11.1.2019, S. 46).</w:t>
      </w:r>
    </w:p>
    <w:p>
      <w:r>
        <w:t xml:space="preserve">(2) Lehnt die zuständige Stelle einen Antrag auf Erteilung einer Prüfungsnummer für einen Qualitätswein oder einen Prädikatswein ab, hat sie zusammen mit der Ablehnung über die Herabstufung des Weines zu entscheiden. Ein Wein ist dabei zu Landwein, zu Wein, der zur Herstellung von Landwein geeignet ist, oder zu Wein, der weder Landwein ist noch zur Herstellung von Landwein geeignet ist, herabzustufen, wenn er</w:t>
      </w:r>
    </w:p>
    <w:p>
      <w:pPr>
        <w:ind w:left="420"/>
      </w:pPr>
      <w:r>
        <w:t xml:space="preserve">1. die für ihn typischen Bewertungsmerkmale nicht aufweist oder</w:t>
      </w:r>
    </w:p>
    <w:p>
      <w:pPr>
        <w:ind w:left="420"/>
      </w:pPr>
      <w:r>
        <w:t xml:space="preserve">2. in Aussehen, Geruch oder Geschmack nicht frei von Fehlern ist</w:t>
      </w:r>
    </w:p>
    <w:p>
      <w:r>
        <w:t xml:space="preserve">und dies auch künftig nicht zu erwarten ist.</w:t>
      </w:r>
    </w:p>
    <w:p>
      <w:r>
        <w:t xml:space="preserve">(3) Wird einem im Inland hergestellten Qualitätsschaumwein oder Sekt, der mit einer Rebsortenangabe versehen werden soll, eine amtliche Prüfungsnummer deshalb nicht zugeteilt, weil das Erzeugnis für die angegebene Rebsorte nicht typisch ist, darf es mit einer Rebsortenangabe nicht in den Verkehr gebracht werden. Die für das Verfahren nach § 24 Absatz 5 des Weingesetzes zuständige Stelle wird über die Versagung der amtlichen Prüfungsnummer unterrichtet.</w:t>
      </w:r>
    </w:p>
    <w:p>
      <w:r>
        <w:t xml:space="preserve">(4) Wird derselbe Qualitätswein, Prädikatswein, Qualitätslikörwein b.A. oder Qualitätsperlwein b.A. in mehreren Teilmengen abgefüllt, so kann die Prüfungsnummer der ersten Abfüllung für alle weiteren Abfüllungen verwendet werden. Dies setzt voraus, dass im Zeitpunkt der ersten Antragstellung die gesamte Weinmenge im Betrieb des Antragstellers lagert und jede Teilmenge nach ihrer Herstellung von gleicher Zusammensetzung wie die erste Teilmenge ist. Die Erteilung der Prüfungsnummer ist für jede abgefüllte Teilmenge neu zu beantragen; § 22 und § 23 Absatz 1 und 2 und die Absätze 1 und 2 gelten entsprechend. Die zuständige Stelle kann zulassen, dass statt des Antrags die Abfüllung der Teilmenge lediglich angezeigt wird. In diesem Falle kann die zuständige Stelle eine unentgeltliche Probe von drei Flaschen anfordern. Weichen bei einer Teilmenge Geschmacksrichtung, Qualität oder das Analysenbild nicht nur unwesentlich von der ersten Teilmenge ab, so gilt deren Prüfungsnummer nicht für diese Teilmenge.</w:t>
      </w:r>
    </w:p>
    <w:p>
      <w:r>
        <w:t xml:space="preserve">(5) Wird derselbe nach Maßgabe des Artikels 53 Absatz 4 der Durchführungsverordnung (EU) 2019/33 hergestellte Sekt b.A. oder Sekt in mehreren Teilmengen degorgiert, ist Absatz 4 entsprechend anzuwenden.</w:t>
      </w:r>
    </w:p>
    <w:p>
      <w:r>
        <w:rPr>
          <w:color w:val="555555"/>
          <w:sz w:val="17"/>
        </w:rPr>
        <w:t xml:space="preserve">Zitiervorschlag: § 24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