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WeinTechAusbV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Absatz 4 und mit § 5 des Berufsbildungsgesetzes, von denen § 4 Absatz 1 durch Artikel 232 Nummer 1 der Verordnung vom 31. Oktober 2006 (BGBl. I S. 2407) geändert worden ist, und 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