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WeinTechAusbV — Ausbildungsrahmenplan, Ausbildungsberufsbild</w:t>
      </w:r>
    </w:p>
    <w:p>
      <w:r>
        <w:rPr>
          <w:color w:val="555555"/>
          <w:sz w:val="18"/>
        </w:rPr>
        <w:t xml:space="preserve">Verordnung über die Berufsausbildung zum Weintechnologen und zur Weintechnologin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Berufsausbildung ist insbesondere insoweit zulässig, als betriebspraktische Besonderheiten die Abweichung erfordern.</w:t>
      </w:r>
    </w:p>
    <w:p>
      <w:r>
        <w:t xml:space="preserve">(2) Die Berufsausbildung zum Weintechnologen und zur Weintechnologin gliedert sich in:</w:t>
      </w:r>
    </w:p>
    <w:p>
      <w:pPr>
        <w:ind w:left="420"/>
      </w:pPr>
      <w:r>
        <w:t xml:space="preserve">1. berufsprofilgebende Fertigkeiten, Kenntnisse und Fähigkeiten sowie</w:t>
      </w:r>
    </w:p>
    <w:p>
      <w:pPr>
        <w:ind w:left="420"/>
      </w:pPr>
      <w:r>
        <w:t xml:space="preserve">2. integrative Fertigkeiten, Kenntnisse und Fähigkeiten.</w:t>
      </w:r>
    </w:p>
    <w:p>
      <w:r>
        <w:t xml:space="preserve">(3) Berufsprofilgebende Fertigkeiten, Kenntnisse und Fähigkeiten sind:</w:t>
      </w:r>
    </w:p>
    <w:p>
      <w:pPr>
        <w:ind w:left="420"/>
      </w:pPr>
      <w:r>
        <w:t xml:space="preserve">1. Annehmen von Trauben, Maische, Most und Wein,</w:t>
      </w:r>
    </w:p>
    <w:p>
      <w:pPr>
        <w:ind w:left="420"/>
      </w:pPr>
      <w:r>
        <w:t xml:space="preserve">2. Verarbeiten von Trauben, Maische und Most,</w:t>
      </w:r>
    </w:p>
    <w:p>
      <w:pPr>
        <w:ind w:left="420"/>
      </w:pPr>
      <w:r>
        <w:t xml:space="preserve">3. Steuern der alkoholischen Gärung,</w:t>
      </w:r>
    </w:p>
    <w:p>
      <w:pPr>
        <w:ind w:left="420"/>
      </w:pPr>
      <w:r>
        <w:t xml:space="preserve">4. Behandeln und Ausbauen von Jungwein und Wein unter Anwendung önologischer Verfahren,</w:t>
      </w:r>
    </w:p>
    <w:p>
      <w:pPr>
        <w:ind w:left="420"/>
      </w:pPr>
      <w:r>
        <w:t xml:space="preserve">5. Durchführen von Analysen und sensorischen Bewertungen,</w:t>
      </w:r>
    </w:p>
    <w:p>
      <w:pPr>
        <w:ind w:left="420"/>
      </w:pPr>
      <w:r>
        <w:t xml:space="preserve">6. Abfüllen von Erzeugnissen,</w:t>
      </w:r>
    </w:p>
    <w:p>
      <w:pPr>
        <w:ind w:left="420"/>
      </w:pPr>
      <w:r>
        <w:t xml:space="preserve">7. Lagern von Erzeugnissen, Verpackungsmaterialien sowie Behandlungs- und Betriebsstoffen,</w:t>
      </w:r>
    </w:p>
    <w:p>
      <w:pPr>
        <w:ind w:left="420"/>
      </w:pPr>
      <w:r>
        <w:t xml:space="preserve">8. Vorstellen und Vermarkten von Erzeugnissen,</w:t>
      </w:r>
    </w:p>
    <w:p>
      <w:pPr>
        <w:ind w:left="420"/>
      </w:pPr>
      <w:r>
        <w:t xml:space="preserve">9. Anwenden von Informations- und Kommunikationstechniken, Kellerbuchführung,</w:t>
      </w:r>
    </w:p>
    <w:p>
      <w:pPr>
        <w:ind w:left="420"/>
      </w:pPr>
      <w:r>
        <w:t xml:space="preserve">10. Durchführen von Hygienemaßnahmen.</w:t>
      </w:r>
    </w:p>
    <w:p>
      <w:r>
        <w:t xml:space="preserve">(4) Integrative Fertigkeiten, Kenntnisse und Fähigkeiten sind:</w:t>
      </w:r>
    </w:p>
    <w:p>
      <w:pPr>
        <w:ind w:left="420"/>
      </w:pPr>
      <w:r>
        <w:t xml:space="preserve">1. Berufsbildung sowie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 sowie Arbeiten im Team,</w:t>
      </w:r>
    </w:p>
    <w:p>
      <w:pPr>
        <w:ind w:left="420"/>
      </w:pPr>
      <w:r>
        <w:t xml:space="preserve">6. Durchführen von qualitätssichernden Maßnahmen.</w:t>
      </w:r>
    </w:p>
    <w:p>
      <w:r>
        <w:rPr>
          <w:color w:val="555555"/>
          <w:sz w:val="17"/>
        </w:rPr>
        <w:t xml:space="preserve">Zitiervorschlag: § 3 WeinTechAusbV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