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WeinSBV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 des Weingesetzes in der Fassung der Bekanntmachung vom 18. Januar 2011 (BGBl. I S. 66) in Verbindung mit § 1 Absatz 2 des Zuständigkeitsanpassungsgesetzes vom 16. August 2002 (BGBl. I S. 3165) und dem Organisationserlass vom 17. Dezember 2013 (BGBl. I S. 4310)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