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WeinSBV — Straftaten</w:t>
      </w:r>
    </w:p>
    <w:p>
      <w:r>
        <w:rPr>
          <w:color w:val="555555"/>
          <w:sz w:val="18"/>
        </w:rPr>
        <w:t xml:space="preserve">Weinrechtliche Straf- und Bußgeldverordnung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Nach § 48 Absatz 1 Nummer 4, Absatz 2, 3 des Weingesetzes wird bestraft, wer gegen die Delegierte Verordnung (EU) 2019/934 verstößt, indem er vorsätzlich oder fahrlässig</w:t>
      </w:r>
    </w:p>
    <w:p>
      <w:pPr>
        <w:ind w:left="420"/>
      </w:pPr>
      <w:r>
        <w:t xml:space="preserve">1. entgegen Artikel 8 Absatz 2 Traubenmost oder Wein verschneidet,</w:t>
      </w:r>
    </w:p>
    <w:p>
      <w:pPr>
        <w:ind w:left="420"/>
      </w:pPr>
      <w:r>
        <w:t xml:space="preserve">2. entgegen Anhang I Teil D Nummer 1 Satz 1, Nummer 2 Satz 1 oder Nummer 4 einen dort genannten Wein süßt oder</w:t>
      </w:r>
    </w:p>
    <w:p>
      <w:pPr>
        <w:ind w:left="420"/>
      </w:pPr>
      <w:r>
        <w:t xml:space="preserve">3. entgegen Anhang II Abschnitt A Nummer 3 oder 7, jeweils auch in Verbindung mit Abschnitt B Nummer 3 erster Gedankenstrich, eine Cuvée oder einen Bestandteil einer Cuvée anreichert oder süßt.</w:t>
      </w:r>
    </w:p>
    <w:p>
      <w:r>
        <w:rPr>
          <w:color w:val="555555"/>
          <w:sz w:val="17"/>
        </w:rPr>
        <w:t xml:space="preserve">Zitiervorschlag: § 9 WeinSBV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