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WeinSBV — Ordnungswidrigkeiten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Ordnungswidrig im Sinne des § 50 Absatz 2 Satz 1 Nummer 12 des Weingesetzes handelt, wer gegen die Delegierte Verordnung (EU) 2018/273 verstößt, indem er vorsätzlich oder fahrlässig</w:t>
      </w:r>
    </w:p>
    <w:p>
      <w:pPr>
        <w:ind w:left="420"/>
      </w:pPr>
      <w:r>
        <w:t xml:space="preserve">1. entgegen Artikel 8 Absatz 2 ein Begleitdokument verwendet,</w:t>
      </w:r>
    </w:p>
    <w:p>
      <w:pPr>
        <w:ind w:left="420"/>
      </w:pPr>
      <w:r>
        <w:t xml:space="preserve">2. entgegen Artikel 31 Absatz 1 Unterabsatz 1 eine Meldung nicht, nicht richtig, nicht vollständig oder nicht bis zum 15. Januar jedes Jahres vorlegt oder</w:t>
      </w:r>
    </w:p>
    <w:p>
      <w:pPr>
        <w:ind w:left="420"/>
      </w:pPr>
      <w:r>
        <w:t xml:space="preserve">3. entgegen Artikel 32 Absatz 1 eine Meldung nicht, nicht richtig, nicht vollständig oder nicht bis zum 10. September jedes Jahres vorlegt.</w:t>
      </w:r>
    </w:p>
    <w:p>
      <w:r>
        <w:rPr>
          <w:color w:val="555555"/>
          <w:sz w:val="17"/>
        </w:rPr>
        <w:t xml:space="preserve">Zitiervorschlag: § 7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