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WeinSBV — Ordnungswidrigkeiten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Ordnungswidrig im Sinne des § 50 Absatz 2 Satz 1 Nummer 12 des Weingesetzes handelt, wer gegen die Verordnung (EU) Nr. 1308/2013 verstößt, indem er vorsätzlich oder fahrlässig</w:t>
      </w:r>
    </w:p>
    <w:p>
      <w:pPr>
        <w:ind w:left="420"/>
      </w:pPr>
      <w:r>
        <w:t xml:space="preserve">1. entgegen Artikel 78 Absatz 2 in Verbindung mit Anhang VII Teil II oder entgegen Artikel 113 Absatz 1 Satz 1 eine Bezeichnung oder einen Begriff verwendet,</w:t>
      </w:r>
    </w:p>
    <w:p>
      <w:pPr>
        <w:ind w:left="420"/>
      </w:pPr>
      <w:r>
        <w:t xml:space="preserve">2. entgegen Artikel 147 Absatz 2 in Verbindung mit</w:t>
      </w:r>
    </w:p>
    <w:p>
      <w:pPr>
        <w:ind w:left="780"/>
      </w:pPr>
      <w:r>
        <w:t xml:space="preserve">a) Artikel 28 Absatz 5 Unterabsatz 1 der Delegierten Verordnung (EU) 2018/273 oder</w:t>
      </w:r>
    </w:p>
    <w:p>
      <w:pPr>
        <w:ind w:left="780"/>
      </w:pPr>
      <w:r>
        <w:t xml:space="preserve">b) Artikel 13 Absatz 1 Unterabsatz 1 Buchstabe a, Artikel 13 Absatz 2 Unterabsatz 1, Artikel 14 Absatz 1 Buchstabe a Ziffer i, Ziffer ii, Ziffer iii oder Ziffer iv oder Absatz 3 Satz 1, Artikel 14 Absatz 1 Buchstabe b, Artikel 15 Absatz 1 oder 4, Artikel 16 Absatz 1, Artikel 17, Artikel 18 Absatz 1, Artikel 20 Absatz 1, 2 oder 3, Artikel 21 Satz 4 oder 5 der Durchführungsverordnung (EU) 2018/274</w:t>
      </w:r>
    </w:p>
    <w:p>
      <w:pPr>
        <w:ind w:left="420"/>
      </w:pPr>
      <w:r>
        <w:t xml:space="preserve">ein Register nicht, nicht richtig oder nicht vollständig führt,</w:t>
      </w:r>
    </w:p>
    <w:p>
      <w:pPr>
        <w:ind w:left="420"/>
      </w:pPr>
      <w:r>
        <w:t xml:space="preserve">3. entgegen Anhang VIII Teil II Abschnitt B Nummer 2 Satz 2 eine alkoholische Gärung einleitet,</w:t>
      </w:r>
    </w:p>
    <w:p>
      <w:pPr>
        <w:ind w:left="420"/>
      </w:pPr>
      <w:r>
        <w:t xml:space="preserve">4. entgegen Anhang VIII Teil II Abschnitt C ein dort genanntes Erzeugnis verschneidet,</w:t>
      </w:r>
    </w:p>
    <w:p>
      <w:pPr>
        <w:ind w:left="420"/>
      </w:pPr>
      <w:r>
        <w:t xml:space="preserve">5. entgegen Anhang VIII Teil II Abschnitt D Nummer 1 Unterabsatz 1 Satz 1 Weintrauben auspresst,</w:t>
      </w:r>
    </w:p>
    <w:p>
      <w:pPr>
        <w:ind w:left="420"/>
      </w:pPr>
      <w:r>
        <w:t xml:space="preserve">6. entgegen Anhang VIII Teil II Abschnitt D Nummer 2 Satz 1 ein dort genanntes Erzeugnis herstellt,</w:t>
      </w:r>
    </w:p>
    <w:p>
      <w:pPr>
        <w:ind w:left="420"/>
      </w:pPr>
      <w:r>
        <w:t xml:space="preserve">7. entgegen Anhang VIII Teil II Abschnitt D Nummer 3 Satz 1 Weintrub auspresst oder Traubentrester vergärt oder</w:t>
      </w:r>
    </w:p>
    <w:p>
      <w:pPr>
        <w:ind w:left="420"/>
      </w:pPr>
      <w:r>
        <w:t xml:space="preserve">8. entgegen Anhang VIII Teil II Abschnitt D Nummer 4 Tresterwein verwendet.</w:t>
      </w:r>
    </w:p>
    <w:p>
      <w:r>
        <w:rPr>
          <w:color w:val="555555"/>
          <w:sz w:val="17"/>
        </w:rPr>
        <w:t xml:space="preserve">Zitiervorschlag: § 6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