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WeinSBV — Straftaten</w:t>
      </w:r>
    </w:p>
    <w:p>
      <w:r>
        <w:rPr>
          <w:color w:val="555555"/>
          <w:sz w:val="18"/>
        </w:rPr>
        <w:t xml:space="preserve">Weinrechtliche Straf- und Bußgeldverordnung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48 Absatz 1 Nummer 4, Absatz 2, 3 des Weingesetzes wird bestraft, wer gegen die Verordnung (EG) Nr. 1333/2008 verstößt, indem er vorsätzlich oder fahrlässig</w:t>
      </w:r>
    </w:p>
    <w:p>
      <w:pPr>
        <w:ind w:left="420"/>
      </w:pPr>
      <w:r>
        <w:t xml:space="preserve">1. entgegen Artikel 4 Absatz 1 in aromatisiertem Wein, einem aromatisierten weinhaltigen Getränk oder einem aromatisierten weinhaltigen Cocktail einen Lebensmittelzusatzstoff, der nicht in Anhang II Teil E Nummer 14.2.7 aufgeführt ist, in den Verkehr bringt oder</w:t>
      </w:r>
    </w:p>
    <w:p>
      <w:pPr>
        <w:ind w:left="420"/>
      </w:pPr>
      <w:r>
        <w:t xml:space="preserve">2. entgegen Artikel 4 Absatz 1 in aromatisiertem Wein, einem aromatisierten weinhaltigen Getränk oder einem aromatisierten weinhaltigen Cocktail einen Lebensmittelzusatzstoff, der in Anhang II Teil E Nummer 14.2.7 aufgeführt ist, unter einer Bedingung verwendet, die dort für diesen Lebensmittelzusatzstoff nicht festgelegt ist.</w:t>
      </w:r>
    </w:p>
    <w:p>
      <w:r>
        <w:rPr>
          <w:color w:val="555555"/>
          <w:sz w:val="17"/>
        </w:rPr>
        <w:t xml:space="preserve">Zitiervorschlag: § 4 WeinSBV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