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WeinSBV — Ordnungswidrigkeiten</w:t>
      </w:r>
    </w:p>
    <w:p>
      <w:r>
        <w:rPr>
          <w:color w:val="555555"/>
          <w:sz w:val="18"/>
        </w:rPr>
        <w:t xml:space="preserve">Weinrechtliche Straf- und Bußgeldverordnung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50 Absatz 2 Satz 1 Nummer 12 des Weingesetzes handelt, wer gegen die Verordnung (EG) Nr. 1234/2007 verstößt, indem er vorsätzlich oder fahrlässig</w:t>
      </w:r>
    </w:p>
    <w:p>
      <w:pPr>
        <w:ind w:left="420"/>
      </w:pPr>
      <w:r>
        <w:t xml:space="preserve">1. entgegen Artikel 85a Absatz 2 Satz 1 oder Artikel 85b Absatz 3 Satz 1 Weintrauben oder ein daraus gewonnenes Erzeugnis in den Verkehr bringt,</w:t>
      </w:r>
    </w:p>
    <w:p>
      <w:pPr>
        <w:ind w:left="420"/>
      </w:pPr>
      <w:r>
        <w:t xml:space="preserve">2. entgegen Artikel 85a Absatz 2 Satz 2 oder Artikel 85b Absatz 3 Satz 2 Alkohol herstellt,</w:t>
      </w:r>
    </w:p>
    <w:p>
      <w:pPr>
        <w:ind w:left="420"/>
      </w:pPr>
      <w:r>
        <w:t xml:space="preserve">3. (weggefallen)</w:t>
      </w:r>
    </w:p>
    <w:p>
      <w:pPr>
        <w:ind w:left="420"/>
      </w:pPr>
      <w:r>
        <w:t xml:space="preserve">4. (weggefallen)</w:t>
      </w:r>
    </w:p>
    <w:p>
      <w:r>
        <w:rPr>
          <w:color w:val="555555"/>
          <w:sz w:val="17"/>
        </w:rPr>
        <w:t xml:space="preserve">Zitiervorschlag: § 2 WeinSBV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