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WeinSBV — Inkrafttreten</w:t>
      </w:r>
    </w:p>
    <w:p>
      <w:r>
        <w:rPr>
          <w:color w:val="555555"/>
          <w:sz w:val="18"/>
        </w:rPr>
        <w:t xml:space="preserve">Weinrechtliche Straf- und 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12 WeinSBV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