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WeinSBV — Übergangsregelung aus Anlass der Verordnung (EU) 2024/1143</w:t>
      </w:r>
    </w:p>
    <w:p>
      <w:r>
        <w:rPr>
          <w:color w:val="555555"/>
          <w:sz w:val="18"/>
        </w:rPr>
        <w:t xml:space="preserve">Weinrechtliche Straf- und Bußgeldverordnung</w:t>
      </w:r>
    </w:p>
    <w:p>
      <w:r>
        <w:rPr>
          <w:color w:val="555555"/>
          <w:sz w:val="18"/>
        </w:rPr>
        <w:t xml:space="preserve">Stand: 28.06.2024 (konsolidierte Textfassung, kein amtliches Inkrafttretensdatum)</w:t>
      </w:r>
    </w:p>
    <w:p>
      <w:r>
        <w:t xml:space="preserve">Soweit nach den in den Artikeln 90 und 91 der Verordnung (EU) 2024/1143 des Europäischen Parlaments und des Rates vom 11. April 2024 über geografische Angaben für Wein, Spirituosen und landwirtschaftliche Erzeugnisse und über garantiert traditionelle Spezialitäten und fakultative Qualitätsangaben für landwirtschaftliche Erzeugnisse sowie zur Änderung der Verordnungen (EU) Nr. 1308/2013, (EU) 2019/787 und (EU) 2019/1753 und zur Aufhebung der Verordnung (EU) Nr. 1151/2012 (ABl. L, 2024/1143, 23.4.2024) in der jeweils geltenden Fassung enthaltenen Übergangsbestimmungen durch die Verordnung (EU) 2024/1143 aufgehobene oder geänderte Vorschriften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ihrer jeweils in Bezug genommenen Fassung weiterhin Anwendung finden, ist Nummer 5 der Anlage zu § 11 in der bis zum 27. Juni 2024 geltenden Fassung weiter anzuwenden.</w:t>
      </w:r>
    </w:p>
    <w:p>
      <w:r>
        <w:rPr>
          <w:color w:val="555555"/>
          <w:sz w:val="17"/>
        </w:rPr>
        <w:t xml:space="preserve">Zitiervorschlag: § 11a WeinSBV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https://recht.nulegal.eu/gesetze/WeinSBV/11a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