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Ordnungswidrig im Sinne des § 50 Absatz 2 Satz 1 Nummer 12 des Weingesetzes handelt, wer gegen die Delegierte Verordnung (EU) 2019/934 verstößt, indem er vorsätzlich oder fahrlässig</w:t>
      </w:r>
    </w:p>
    <w:p>
      <w:pPr>
        <w:ind w:left="420"/>
      </w:pPr>
      <w:r>
        <w:t xml:space="preserve">1. entgegen Anhang II Abschnitt A Nummer 5 Satz 2 oder Nummer 6, jeweils auch in Verbindung mit Abschnitt B Nummer 3 erster Gedankenstrich, oder entgegen Anhang II Abschnitt B Nummer 4 Buchstabe c oder Abschnitt C Nummer 9 Buchstabe c Fülldosage oder Versanddosage zusetzt,</w:t>
      </w:r>
    </w:p>
    <w:p>
      <w:pPr>
        <w:ind w:left="420"/>
      </w:pPr>
      <w:r>
        <w:t xml:space="preserve">2. entgegen Anhang II Abschnitt A Nummer 8 Satz 3, auch in Verbindung mit Abschnitt B Nummer 3 erster Gedankenstrich, eine Cuvée säuert oder entsäuert oder</w:t>
      </w:r>
    </w:p>
    <w:p>
      <w:pPr>
        <w:ind w:left="420"/>
      </w:pPr>
      <w:r>
        <w:t xml:space="preserve">3. entgegen Anhang II Abschnitt A Nummer 10 Unterabsatz 2 Satz 1, auch in Verbindung mit Abschnitt B Nummer 3 erster Gedankenstrich oder Abschnitt C Nummer 8, die alkoholische Gärung einer Cuvée auslöst.</w:t>
      </w:r>
    </w:p>
    <w:p>
      <w:r>
        <w:rPr>
          <w:color w:val="555555"/>
          <w:sz w:val="17"/>
        </w:rPr>
        <w:t xml:space="preserve">Zitiervorschlag: § 10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