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WeinSBV — Ordnungswidrigkeiten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50 Absatz 2 Satz 1 Nummer 12 des Weingesetzes handelt, wer gegen die Verordnung (EG) Nr. 1924/2006 verstößt, indem er vorsätzlich oder fahrlässig</w:t>
      </w:r>
    </w:p>
    <w:p>
      <w:pPr>
        <w:ind w:left="420"/>
      </w:pPr>
      <w:r>
        <w:t xml:space="preserve">1. entgegen Artikel 3 Unterabsatz 1 in Verbindung mit Artikel 4 Absatz 3 Unterabsatz 1 bei einem Erzeugnis des Weinsektors mit einem Alkoholgehalt von mehr als 1,2 Volumenprozent eine gesundheitsbezogene Angabe verwendet oder</w:t>
      </w:r>
    </w:p>
    <w:p>
      <w:pPr>
        <w:ind w:left="420"/>
      </w:pPr>
      <w:r>
        <w:t xml:space="preserve">2. entgegen Artikel 3 Unterabsatz 1 in Verbindung mit Artikel 4 Absatz 3 Unterabsatz 2 bei einem Erzeugnis des Weinsektors mit einem Alkoholgehalt von mehr als 1,2 Volumenprozent eine dort genannte nährwertbezogene Angabe verwendet.</w:t>
      </w:r>
    </w:p>
    <w:p>
      <w:r>
        <w:rPr>
          <w:color w:val="555555"/>
          <w:sz w:val="17"/>
        </w:rPr>
        <w:t xml:space="preserve">Zitiervorschlag: § 1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