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WeinRDV (Brandenburg) — Anerkannte Erzeuger nach der Verordnung (EG) Nr. 607/2009 (zu § 24 Absatz 5 des Weingesetzes)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Als anerkannte Erzeuger im Sinne von Artikel 63 Absatz 4 der Verordnung (EG) Nr. 607/2009 der Kommission vom 14. Juli 2009 mit Durchführungsbestimmungen zur Verordnung (EG) Nr. 479/2008 des Rates hinsichtlich der geschützten Ursprungsbezeichnungen und geografischen Angaben, der traditionellen Begriffe sowie der Kennzeichnung und Aufmachung bestimmter Weinbauerzeugnisse (ABl. L 193 vom 24.07.2009, S. 60) in der jeweils geltenden Fassung gelten Betriebe, denen auf Antrag eine Betriebsnummer von der zuständigen Behörde zugeteilt wurde.</w:t>
      </w:r>
    </w:p>
    <w:p>
      <w:r>
        <w:t xml:space="preserve">(2) Die zuständige Behörde ist befugt, zum Zwecke der Durchführung des Zertifizierungs-, Genehmigungs- und Kontrollverfahrens für Weine mit der Angabe einer oder mehrerer Rebsorten oder der Angabe des Erntejahres nach der Verordnung (EU) Nr. 1308/2013 des Europäischen Parlaments und des Rates vom 17. Dezember 2013 über eine gemeinsame Marktorganisation für landwirtschaftliche Erzeugnisse und zur Aufhebung der Verordnungen (EWG) Nr. 922/72, (EWG) Nr. 234/79, (EG) Nr. 1037/2001 und (EG) Nr. 1234/2007 (ABl. L 347 vom 20.12.2013, S. 671) in der jeweils geltenden Fassung die in § 7 Absatz 2 genannten Meldungen und Dokumente zu verwenden.</w:t>
      </w:r>
    </w:p>
    <w:p>
      <w:r>
        <w:t xml:space="preserve">(3) Die Abfüllung von Weinen mit Jahrgangs- oder Rebsortenangaben in Verkaufsverpackungen ist der zuständigen Behörde innerhalb von sieben Arbeitstagen unter Vorlage eines Untersuchungsbefundes mit den in Anlage 10 der Weinverordnung genannten Angaben anzuzeigen.</w:t>
      </w:r>
    </w:p>
    <w:p>
      <w:r>
        <w:rPr>
          <w:color w:val="555555"/>
          <w:sz w:val="17"/>
        </w:rPr>
        <w:t xml:space="preserve">Zitiervorschlag: § 9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