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WeinRDV (Brandenburg) — Landwein (zu § 22 Absatz 3 Nummer 2 und 3 des Weingesetzes)</w:t>
      </w:r>
    </w:p>
    <w:p>
      <w:r>
        <w:rPr>
          <w:color w:val="555555"/>
          <w:sz w:val="18"/>
        </w:rPr>
        <w:t xml:space="preserve">Weinrechtsdurchführungsverordnung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Der natürliche Mindestalkoholgehalt wird für die zu Brandenburg gehörenden Teile des Landweingebietes Brandenburger Landwein auf 5,9 Volumenprozent Alkohol (50° Öchsle) und für die zu Brandenburg gehörenden Teile des Landweingebietes Sächsischer Landwein auf 5,9 Volumenprozent Alkohol (50° Öchsle) festgesetzt.</w:t>
      </w:r>
    </w:p>
    <w:p>
      <w:r>
        <w:t xml:space="preserve">(2) Die Kontrolle der Produktspezifikationen von Landwein wird von der zuständigen Behörde auf Basis der Angaben der Erzeuger aus</w:t>
      </w:r>
    </w:p>
    <w:p>
      <w:r>
        <w:t xml:space="preserve">der Erntemeldung nach Artikel 8,</w:t>
      </w:r>
    </w:p>
    <w:p>
      <w:r>
        <w:t xml:space="preserve">der Erzeugungsmeldung nach Artikel 9,</w:t>
      </w:r>
    </w:p>
    <w:p>
      <w:r>
        <w:t xml:space="preserve">der Bestandsmeldung nach Artikel 11,</w:t>
      </w:r>
    </w:p>
    <w:p>
      <w:r>
        <w:t xml:space="preserve">den Begleitdokumenten nach Titel III</w:t>
      </w:r>
    </w:p>
    <w:p>
      <w:r>
        <w:t xml:space="preserve">der Verordnung (EG) Nr. 436/2009 der Kommission vom 26. Mai 2009 mit Durchführungsbestimmungen zur Verordnung (EG) Nr. 479/2008 des Rates hinsichtlich der Weinbaukartei, der obligatorischen Meldungen und der Sammlung von Informationen zur Überwachung des Marktes, der Begleitdokumente für die Beförderung von Weinbauerzeugnissen und der Ein- und Ausgangsbücher im Weinsektor (ABl. Nr. L 128 vom 27.05.2009, S. 15) in der jeweils geltenden Fassung.</w:t>
      </w:r>
    </w:p>
    <w:p>
      <w:r>
        <w:t xml:space="preserve">(3) Die Abfüllung von Landweinen in Verkaufsverpackungen ist der zuständigen Behörde innerhalb von sieben Arbeitstagen unter Vorlage eines Untersuchungsbefundes mit den in Anlage 10 der Weinverordnung genannten Angaben anzuzeigen.</w:t>
      </w:r>
    </w:p>
    <w:p>
      <w:r>
        <w:t xml:space="preserve">(4) Zur Herstellung von Landwein sind die in § 4 Absatz 1 genannten Rebsorten geeignet.</w:t>
      </w:r>
    </w:p>
    <w:p>
      <w:r>
        <w:rPr>
          <w:color w:val="555555"/>
          <w:sz w:val="17"/>
        </w:rPr>
        <w:t xml:space="preserve">Zitiervorschlag: § 7 WeinRDV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https://recht.nulegal.eu/gesetze/WeinRDV/7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