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WeinRDV (Brandenburg) — Qualitätswein bestimmter Anbaugebiete (b. A.) (zu § 17 Absatz 3 und § 20 Absatz 6 des Weingesetzes)</w:t>
      </w:r>
    </w:p>
    <w:p>
      <w:r>
        <w:rPr>
          <w:color w:val="555555"/>
          <w:sz w:val="18"/>
        </w:rPr>
        <w:t xml:space="preserve">Weinrechtsdurchführungsverordnung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Bewässerung von Rebflächen und die Beregnung zum Frostschutz sind zulässig, wenn die Umweltbedingungen dies rechtfertigen.</w:t>
      </w:r>
    </w:p>
    <w:p>
      <w:r>
        <w:t xml:space="preserve">(2) Die natürlichen Mindestalkoholgehalte für Qualitätswein, Prädikatswein, Qualitätslikörwein b. A., Qualitätsperlwein b. A. und Sekt b. A. für den zu Brandenburg gehörenden Teil des bestimmten Anbaugebietes Saale-Unstrut sind in der Anlage 6 festgesetzt.</w:t>
      </w:r>
    </w:p>
    <w:p>
      <w:r>
        <w:t xml:space="preserve">(3) Die natürlichen Mindestalkoholgehalte für Qualitätswein, Prädikatswein, Qualitätslikörwein b. A., Qualitätsperlwein b. A. und Sekt b. A. für den zu Brandenburg gehörenden Teil des bestimmten Anbaugebietes Sachsen sind in der Anlage 7 festgesetzt.</w:t>
      </w:r>
    </w:p>
    <w:p>
      <w:r>
        <w:t xml:space="preserve">(4) Für die Zuerkennung des Prädikates „Eiswein“ muss das Erntegut von Hand gelesen worden sein.</w:t>
      </w:r>
    </w:p>
    <w:p>
      <w:r>
        <w:t xml:space="preserve">(5) Zur Herstellung von Qualitätswein, Prädikatswein, Qualitätslikörwein b. A., Qualitätsperlwein b. A. und Sekt b. A. sind die in § 4 Absatz 1 genannten Rebsorten geeignet.</w:t>
      </w:r>
    </w:p>
    <w:p>
      <w:r>
        <w:rPr>
          <w:color w:val="555555"/>
          <w:sz w:val="17"/>
        </w:rPr>
        <w:t xml:space="preserve">Zitiervorschlag: § 6 WeinRDV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https://recht.nulegal.eu/gesetze/WeinRDV/6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