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WeinRDV (Brandenburg) — Inkrafttreten, Außerkrafttreten</w:t>
      </w:r>
    </w:p>
    <w:p>
      <w:r>
        <w:rPr>
          <w:color w:val="555555"/>
          <w:sz w:val="18"/>
        </w:rPr>
        <w:t xml:space="preserve">Weinrechtsdurchführungsverordnung</w:t>
      </w:r>
    </w:p>
    <w:p>
      <w:r>
        <w:rPr>
          <w:color w:val="555555"/>
          <w:sz w:val="18"/>
        </w:rPr>
        <w:t xml:space="preserve">Landesrecht Brandenburg</w:t>
      </w:r>
    </w:p>
    <w:p>
      <w:r>
        <w:rPr>
          <w:color w:val="555555"/>
          <w:sz w:val="18"/>
        </w:rPr>
        <w:t xml:space="preserve">Stand: 01.09.2026 (konsolidierte Textfassung, kein amtliches Inkrafttretensdatum)</w:t>
      </w:r>
    </w:p>
    <w:p>
      <w:r>
        <w:t xml:space="preserve">Diese Verordnung tritt am Tag nach der Verkündung in Kraft. Gleichzeitig tritt die Verordnung zur Durchführung des Weinrechts im Land Brandenburg vom 19. Juni 2006 (GVBl. II S. 239) außer Kraft.</w:t>
      </w:r>
    </w:p>
    <w:p>
      <w:r>
        <w:t xml:space="preserve">Potsdam, den 29. Februar 2012</w:t>
      </w:r>
    </w:p>
    <w:p>
      <w:r>
        <w:t xml:space="preserve">Der Minister für Infrastruktur und Landwirtschaft</w:t>
      </w:r>
    </w:p>
    <w:p>
      <w:r>
        <w:t xml:space="preserve">Jörg Vogelsänger</w:t>
      </w:r>
    </w:p>
    <w:p>
      <w:r>
        <w:rPr>
          <w:color w:val="555555"/>
          <w:sz w:val="17"/>
        </w:rPr>
        <w:t xml:space="preserve">Zitiervorschlag: § 21 WeinRDV (Brandenburg)</w:t>
      </w:r>
    </w:p>
    <w:p>
      <w:r>
        <w:rPr>
          <w:color w:val="555555"/>
          <w:sz w:val="17"/>
        </w:rPr>
        <w:t xml:space="preserve">Quelle: bravors, abgerufen 02.09.2026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https://recht.nulegal.eu/gesetze/WeinRDV/21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