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WeinRDV (Brandenburg) — Wiederbepflanzung (zu § 6 Absatz 2 und 6 des Weingesetzes)</w:t>
      </w:r>
    </w:p>
    <w:p>
      <w:r>
        <w:rPr>
          <w:color w:val="555555"/>
          <w:sz w:val="18"/>
        </w:rPr>
        <w:t xml:space="preserve">Weinrechtsdurchführungsverordnung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zuständige Behörde kann Erzeugern, die sich verpflichtet haben, eine Rebfläche zu roden, auf Antrag genehmigen, die Wiederbepflanzung auf einer anderen als der zu rodenden Fläche vorzunehmen, soweit die Rodung spätestens bis zum Ablauf des vierten Jahres, gerechnet ab dem Zeitpunkt der Anpflanzung der neuen Reben, vorgenommen wird. Der Erzeuger meldet die erfolgte Rodung innerhalb von vier Wochen an die zuständige Behörde.</w:t>
      </w:r>
    </w:p>
    <w:p>
      <w:r>
        <w:t xml:space="preserve">(2) Stimmt die wieder zu bepflanzende Fläche mit der gerodeten Fläche überein und wurde kein Antrag nach Absatz 1 gestellt, gilt die Wiederbepflanzung als genehmigt, wenn die Rodung spätestens am Ende des Weinwirtschaftsjahres, in dem die Rodung erfolgt ist, der zuständigen Stelle gemeldet wird und die Wiederbepflanzung innerhalb von drei Jahren ab dem Zeitpunkt der Rodung erfolgt.</w:t>
      </w:r>
    </w:p>
    <w:p>
      <w:r>
        <w:rPr>
          <w:color w:val="555555"/>
          <w:sz w:val="17"/>
        </w:rPr>
        <w:t xml:space="preserve">Zitiervorschlag: § 2 WeinRDV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https://recht.nulegal.eu/gesetze/WeinRDV/2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