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WeinRDV (Brandenburg) — Analysenbuchführung (zu § 13 Absatz 2 Satz 2 der Wein-Überwachungsverordnung)</w:t>
      </w:r>
    </w:p>
    <w:p>
      <w:r>
        <w:rPr>
          <w:color w:val="555555"/>
          <w:sz w:val="18"/>
        </w:rPr>
        <w:t xml:space="preserve">Weinrechtsdurchführungsverordnung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Analysenbuchführung auf der Grundlage automatisierter Datenverarbeitung wird auf Antrag des Anwenders von der zuständigen Behörde genehmigt, wenn das Buchführungsverfahren die Anforderungen, die allgemein an eine Buchführung gestellt werden, erfüllt.</w:t>
      </w:r>
    </w:p>
    <w:p>
      <w:r>
        <w:rPr>
          <w:color w:val="555555"/>
          <w:sz w:val="17"/>
        </w:rPr>
        <w:t xml:space="preserve">Zitiervorschlag: § 15 WeinRDV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https://recht.nulegal.eu/gesetze/WeinRDV/15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WeinRDV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