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WeinRDV (Brandenburg) — Auszeichnungen (zu § 24 Absatz 4 Nummer 1 des Weingesetzes)</w:t>
      </w:r>
    </w:p>
    <w:p>
      <w:r>
        <w:rPr>
          <w:color w:val="555555"/>
          <w:sz w:val="18"/>
        </w:rPr>
        <w:t xml:space="preserve">Weinrechtsdurchführungsverordnung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zuständige Behörde kann auf Antrag Auszeichnungen und ähnliche Angaben anerkennen, wenn diese in einem Wettbewerb entsprechend § 30 Absatz 1 bis 3 und 5 der Weinverordnung vergeben werden. Der Antragsteller legt mit dem Antrag eine Satzung zur Durchführung des Wettbewerbs zur Anerkennung vor.</w:t>
      </w:r>
    </w:p>
    <w:p>
      <w:r>
        <w:t xml:space="preserve">(2) Soweit es sich um Auszeichnungen und ähnliche Angaben für Erzeugnisse der im Land Brandenburg belegenen Teile der bestimmten Anbaugebiete Saale-Unstrut und Sachsen handelt, ergeht eine Anerkennung nach Absatz 1 durch die zuständige Behörde nur im Einvernehmen mit den Anbauverbänden dieser Anbaugebiete.</w:t>
      </w:r>
    </w:p>
    <w:p>
      <w:r>
        <w:rPr>
          <w:color w:val="555555"/>
          <w:sz w:val="17"/>
        </w:rPr>
        <w:t xml:space="preserve">Zitiervorschlag: § 11 WeinRDV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https://recht.nulegal.eu/gesetze/WeinRDV/11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