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 WeinR-DVO NRW (Nordrhein-Westfalen) — Ordnungswidrigkeiten</w:t>
      </w:r>
    </w:p>
    <w:p>
      <w:r>
        <w:rPr>
          <w:color w:val="555555"/>
          <w:sz w:val="18"/>
        </w:rPr>
        <w:t xml:space="preserve">Weinrechtsdurchführungsverordnung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im Sinne des § 50 Absatz 1 in Verbindung mit § 49 Nummer 3 des Weingesetzes handelt, wer entgegen § 6 Absatz 2 oder 3 Rebflächen beregnet.</w:t>
      </w:r>
    </w:p>
    <w:p>
      <w:r>
        <w:t xml:space="preserve">(2) Ordnungswidrig im Sinne des § 50 Absatz 2 Nummer 4 des Weingesetzes handelt, wer vorsätzlich oder fahrlässig</w:t>
      </w:r>
    </w:p>
    <w:p>
      <w:r>
        <w:t xml:space="preserve">1. entgegen § 6 Absatz 1 Wiederbepflanzungen vornimmt,</w:t>
      </w:r>
    </w:p>
    <w:p>
      <w:r>
        <w:t xml:space="preserve">2. entgegen § 9 die fällige Abgabe nicht oder nicht rechtzeitig zahlt,</w:t>
      </w:r>
    </w:p>
    <w:p>
      <w:r>
        <w:t xml:space="preserve">3. entgegen § 13 Absatz 2 Satz 2 Änderungen des genehmigten Buchführungsverfahrens nicht unverzüglich anzeigt oder</w:t>
      </w:r>
    </w:p>
    <w:p>
      <w:r>
        <w:t xml:space="preserve">4. entgegen § 15, § 16 Absatz 2 oder § 17 eine vorgeschriebene Meldung nicht, nicht richtig, nicht vollständig oder nicht rechtzeitig abgibt.</w:t>
      </w:r>
    </w:p>
    <w:p>
      <w:r>
        <w:rPr>
          <w:color w:val="555555"/>
          <w:sz w:val="17"/>
        </w:rPr>
        <w:t xml:space="preserve">Zitiervorschlag: § 21 WeinR-DVO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https://recht.nulegal.eu/gesetze/WeinR-DVO%20NRW/21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