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WeinG 1994 — Bewirtschaftung des Produktionspotenzials</w:t>
      </w:r>
    </w:p>
    <w:p>
      <w:r>
        <w:rPr>
          <w:color w:val="555555"/>
          <w:sz w:val="18"/>
        </w:rPr>
        <w:t xml:space="preserve">Weingesetz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(weggefallen)</w:t>
      </w:r>
    </w:p>
    <w:p>
      <w:r>
        <w:t xml:space="preserve">(3) (weggefallen)</w:t>
      </w:r>
    </w:p>
    <w:p>
      <w:r>
        <w:t xml:space="preserve">(4) Soweit die Landesregierungen durch Rechtsverordnung</w:t>
      </w:r>
    </w:p>
    <w:p>
      <w:pPr>
        <w:ind w:left="420"/>
      </w:pPr>
      <w:r>
        <w:t xml:space="preserve">1. bei der Schaffung regionaler Reserven nach der Verordnung (EG) Nr. 1493/1999 des Rates vom 17. Mai 1999 über die gemeinsame Marktorganisation für Wein (ABl. L 179 vom 14.7.1999, S. 1) bestimmt haben, dass ein Wiederbepflanzungsrecht bis zum Ende des achten auf das Jahr der Rodung folgenden Jahres ausgeübt werden kann, oder</w:t>
      </w:r>
    </w:p>
    <w:p>
      <w:pPr>
        <w:ind w:left="420"/>
      </w:pPr>
      <w:r>
        <w:t xml:space="preserve">2. auf der Grundlage einer abweichenden Entscheidung nach Artikel 5 Absatz 8 Satz 1 der Verordnung (EG) Nr. 1493/1999 bestimmt haben, dass ein Wiederbepflanzungsrecht bis zum Ende des 13. auf das Jahr der Rodung folgenden Weinjahres ausgeübt werden kann,</w:t>
      </w:r>
    </w:p>
    <w:p>
      <w:r>
        <w:t xml:space="preserve">bestimmt sich die Laufzeit eines im Rahmen der Verordnung (EG) Nr. 1493/1999 erteilten Wiederbepflanzungsrechts durch die bei der Gewährung geltenden Frist für dessen Ausübung, längstens durch die Laufzeit der Anbauregelung nach Artikel 85f der Verordnung (EG) Nr. 1234/2007.</w:t>
      </w:r>
    </w:p>
    <w:p>
      <w:r>
        <w:rPr>
          <w:color w:val="555555"/>
          <w:sz w:val="17"/>
        </w:rPr>
        <w:t xml:space="preserve">Zitiervorschlag: § 8a WeinG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https://recht.nulegal.eu/gesetze/WeinG%201994/8a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