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7f WeinG 1994 — Anpflanzung zu Forschungs- und Versuchszwecken; Verordnungsermächtigung</w:t>
      </w:r>
    </w:p>
    <w:p>
      <w:r>
        <w:rPr>
          <w:color w:val="555555"/>
          <w:sz w:val="18"/>
        </w:rPr>
        <w:t xml:space="preserve">Weingesetz</w:t>
      </w:r>
    </w:p>
    <w:p>
      <w:r>
        <w:rPr>
          <w:color w:val="555555"/>
          <w:sz w:val="18"/>
        </w:rPr>
        <w:t xml:space="preserve">Stand: 07.02.2021 (konsolidierte Textfassung, kein amtliches Inkrafttretensdatum)</w:t>
      </w:r>
    </w:p>
    <w:p>
      <w:r>
        <w:t xml:space="preserve">Das Bundesministerium für Ernährung und Landwirtschaft wird ermächtigt, im Einvernehmen mit dem Bundesministerium für Bildung und Forschung durch Rechtsverordnung mit Zustimmung des Bundesrates die Voraussetzungen und das Verfahren festzulegen</w:t>
      </w:r>
    </w:p>
    <w:p>
      <w:pPr>
        <w:ind w:left="420"/>
      </w:pPr>
      <w:r>
        <w:t xml:space="preserve">1. für einen Versuchsanbau im Sinne von Artikel 62 Absatz 4 der Verordnung (EU) Nr. 1308/2013,</w:t>
      </w:r>
    </w:p>
    <w:p>
      <w:pPr>
        <w:ind w:left="420"/>
      </w:pPr>
      <w:r>
        <w:t xml:space="preserve">2. für die Anpflanzung, Wiederanpflanzung oder Veredelung von nicht klassifizierten Keltertraubensorten zu wissenschaftlichen Forschungs- und Versuchszwecken nach Artikel 81 Absatz 4 Buchstabe a der Verordnung (EU) Nr. 1308/2013.</w:t>
      </w:r>
    </w:p>
    <w:p>
      <w:r>
        <w:rPr>
          <w:color w:val="555555"/>
          <w:sz w:val="17"/>
        </w:rPr>
        <w:t xml:space="preserve">Zitiervorschlag: § 7f WeinG 1994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https://recht.nulegal.eu/gesetze/WeinG%201994/7f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7f WeinG 1994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