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WeinG 1994 — Bußgeldvorschriften</w:t>
      </w:r>
    </w:p>
    <w:p>
      <w:r>
        <w:rPr>
          <w:color w:val="555555"/>
          <w:sz w:val="18"/>
        </w:rPr>
        <w:t xml:space="preserve">Weingesetz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Ordnungswidrig handelt, wer eine der in</w:t>
      </w:r>
    </w:p>
    <w:p>
      <w:pPr>
        <w:ind w:left="420"/>
      </w:pPr>
      <w:r>
        <w:t xml:space="preserve">1. § 49 Satz 1 oder</w:t>
      </w:r>
    </w:p>
    <w:p>
      <w:pPr>
        <w:ind w:left="420"/>
      </w:pPr>
      <w:r>
        <w:t xml:space="preserve">2. § 49 Satz 2</w:t>
      </w:r>
    </w:p>
    <w:p>
      <w:r>
        <w:t xml:space="preserve">bezeichneten Handlungen fahrlässig begeht.</w:t>
      </w:r>
    </w:p>
    <w:p>
      <w:r>
        <w:t xml:space="preserve">(1a) (weggefallen)</w:t>
      </w:r>
    </w:p>
    <w:p>
      <w:r>
        <w:t xml:space="preserve">(2) Ordnungswidrig handelt, wer vorsätzlich oder fahrlässig</w:t>
      </w:r>
    </w:p>
    <w:p>
      <w:pPr>
        <w:ind w:left="420"/>
      </w:pPr>
      <w:r>
        <w:t xml:space="preserve">1. entgegen § 11 Absatz 1 Satz 1 oder Absatz 4 Satz 1 die dort genannte Menge nicht oder nicht rechtzeitig destilliert,</w:t>
      </w:r>
    </w:p>
    <w:p>
      <w:pPr>
        <w:ind w:left="420"/>
      </w:pPr>
      <w:r>
        <w:t xml:space="preserve">2. der Nachweispflicht nach § 11 Abs. 1 Satz 3 zuwiderhandelt,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einer Rechtsverordnung nach § 4 Absatz 2, § 14 Nr. 2, § 16 Abs. 2 Satz 1, auch in Verbindung mit Satz 2 Nr. 4, § 16 Absatz 3 oder 4 Satz 1, § 21 Abs. 1 Nr. 4, § 24 Abs. 2, 3 oder 4 Nr. 2, § 26 Absatz 3 Satz 2, § 28 Abs. 3 Nr. 2 bis 4, § 29, § 30, § 31 Abs. 4 Nr. 1, § 33 Abs. 1, 1a Satz 1 oder Abs. 1b oder § 36 Abs. 1 Satz 1 in Verbindung mit Satz 2 Nr. 3 Buchstabe c oder Nr. 4 zuwiderhandelt, soweit sie für einen bestimmten Tatbestand auf diese Bußgeldvorschrift verweist,</w:t>
      </w:r>
    </w:p>
    <w:p>
      <w:pPr>
        <w:ind w:left="420"/>
      </w:pPr>
      <w:r>
        <w:t xml:space="preserve">5. entgegen § 7d Absatz 1, 1a, 1b, 1c oder 1d eine Genehmigung nicht oder nicht richtig in Anspruch nimmt,</w:t>
      </w:r>
    </w:p>
    <w:p>
      <w:pPr>
        <w:ind w:left="420"/>
      </w:pPr>
      <w:r>
        <w:t xml:space="preserve">6. einer Rechtsverordnung nach § 12 Absatz 3 Nummer 5 oder Absatz 5 oder § 44 Absatz 1 Satz 2 oder Absatz 2 Satz 2 zuwiderhandelt, soweit sie für einen bestimmten Tatbestand auf diese Bußgeldvorschrift verweist,</w:t>
      </w:r>
    </w:p>
    <w:p>
      <w:pPr>
        <w:ind w:left="420"/>
      </w:pPr>
      <w:r>
        <w:t xml:space="preserve">6a. entgegen § 22b Absatz 2 eine geografische Bezeichnung benutzt,</w:t>
      </w:r>
    </w:p>
    <w:p>
      <w:pPr>
        <w:ind w:left="420"/>
      </w:pPr>
      <w:r>
        <w:t xml:space="preserve">7. entgegen § 23 Absatz 1a eine Angabe macht,</w:t>
      </w:r>
    </w:p>
    <w:p>
      <w:pPr>
        <w:ind w:left="420"/>
      </w:pPr>
      <w:r>
        <w:t xml:space="preserve">8. entgegen § 26 Abs. 1 für ein Getränk, das kein Erzeugnis ist, eine nicht zugelassene Angabe gebraucht,</w:t>
      </w:r>
    </w:p>
    <w:p>
      <w:pPr>
        <w:ind w:left="420"/>
      </w:pPr>
      <w:r>
        <w:t xml:space="preserve">9. entgegen § 28 Abs. 1 einen dort genannten Stoff mit dem dort genannten Ziel in den Verkehr bringt, vermittelt oder zum Gegenstand der Werbung macht,</w:t>
      </w:r>
    </w:p>
    <w:p>
      <w:pPr>
        <w:ind w:left="420"/>
      </w:pPr>
      <w:r>
        <w:t xml:space="preserve">10. entgegen § 28 Abs. 2 Weintrub in den Verkehr bringt oder bezieht,</w:t>
      </w:r>
    </w:p>
    <w:p>
      <w:pPr>
        <w:ind w:left="420"/>
      </w:pPr>
      <w:r>
        <w:t xml:space="preserve">10a. entgegen § 31 Abs. 2a Satz 1 eine Information nicht, nicht richtig, nicht vollständig oder nicht rechtzeitig übermittelt,</w:t>
      </w:r>
    </w:p>
    <w:p>
      <w:pPr>
        <w:ind w:left="420"/>
      </w:pPr>
      <w:r>
        <w:t xml:space="preserve">11. entgegen § 31 Abs. 6 eine Maßnahme nach § 31 Abs. 1 oder eine Entnahme von Proben nicht duldet, eine in der Überwachung tätige Person nicht unterstützt oder eine Auskunft nicht erteilt oder</w:t>
      </w:r>
    </w:p>
    <w:p>
      <w:pPr>
        <w:ind w:left="420"/>
      </w:pPr>
      <w:r>
        <w:t xml:space="preserve">12. einer unmittelbar geltenden Vorschrift in Rechtsakten der Europäischen Gemeinschaft oder der Europäischen Union zuwiderhandelt, die inhaltlich einer Regelung entspricht, zu der die in Nummer 4 genannten Vorschriften ermächtigen, soweit eine Rechtsverordnung nach § 51 Nummer 2 für einen bestimmten Tatbestand auf diese Bußgeldvorschrift verweist.</w:t>
      </w:r>
    </w:p>
    <w:p>
      <w:r>
        <w:t xml:space="preserve">Für Erzeugnisse nach § 2 Nummer 1 gelten folgende Bußgeldvorschriften des Lebensmittel- und Futtermittelgesetzbuches entsprechend:</w:t>
      </w:r>
    </w:p>
    <w:p>
      <w:pPr>
        <w:ind w:left="420"/>
      </w:pPr>
      <w:r>
        <w:t xml:space="preserve">1. § 60 Absatz 3 Nummer 1 Buchstabe d und e,</w:t>
      </w:r>
    </w:p>
    <w:p>
      <w:pPr>
        <w:ind w:left="420"/>
      </w:pPr>
      <w:r>
        <w:t xml:space="preserve">2. § 60 Absatz 3 Nummer 1 Buchstabe f, soweit er sich auf Artikel 19 Absatz 3 Satz 1 der Verordnung (EG) Nr. 178/2002 bezieht, und</w:t>
      </w:r>
    </w:p>
    <w:p>
      <w:pPr>
        <w:ind w:left="420"/>
      </w:pPr>
      <w:r>
        <w:t xml:space="preserve">3. § 60 Absatz 3 Nummer 1 Buchstabe g, soweit er sich auf Artikel 19 Absatz 3 Satz 2 der Verordnung (EG) Nr. 178/2002 bezieht.</w:t>
      </w:r>
    </w:p>
    <w:p>
      <w:r>
        <w:t xml:space="preserve">(3) Die Ordnungswidrigkeit kann in den Fällen des Absatzes 1 Nummer 2 und des Absatzes 2 Satz 1 Nummer 6a und Satz 2 mit einer Geldbuße bis zu fünfzigtausend Euro, in den übrigen Fällen mit einer Geldbuße bis zu zwanzigtausend Euro geahndet werden.</w:t>
      </w:r>
    </w:p>
    <w:p>
      <w:r>
        <w:rPr>
          <w:color w:val="555555"/>
          <w:sz w:val="17"/>
        </w:rPr>
        <w:t xml:space="preserve">Zitiervorschlag: § 50 WeinG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https://recht.nulegal.eu/gesetze/WeinG%201994/50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