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WeinG 1994 — Rebanlagen</w:t>
      </w:r>
    </w:p>
    <w:p>
      <w:r>
        <w:rPr>
          <w:color w:val="555555"/>
          <w:sz w:val="18"/>
        </w:rPr>
        <w:t xml:space="preserve">Weingesetz</w:t>
      </w:r>
    </w:p>
    <w:p>
      <w:r>
        <w:rPr>
          <w:color w:val="555555"/>
          <w:sz w:val="18"/>
        </w:rPr>
        <w:t xml:space="preserve">Stand: 07.02.2021 (konsolidierte Textfassung, kein amtliches Inkrafttretensdatum)</w:t>
      </w:r>
    </w:p>
    <w:p>
      <w:r>
        <w:t xml:space="preserve">(1) Zur Herstellung von inländischem Wein und anderen Erzeugnissen aus inländischen Weintrauben dürfen für andere Zwecke als zur Destillation nur solche Weintrauben verwendet werden, die auf Rebflächen im Inland erzeugt wurden, welche zulässigerweise mit Reben bepflanzt sind.</w:t>
      </w:r>
    </w:p>
    <w:p>
      <w:r>
        <w:t xml:space="preserve">(2) Das Bundesministerium für Ernährung und Landwirtschaft wird ermächtigt, durch Rechtsverordnung mit Zustimmung des Bundesrates, soweit dies zur Sicherung einer ausreichenden Überwachung oder zur Durchführung der Anbauregeln erforderlich ist,</w:t>
      </w:r>
    </w:p>
    <w:p>
      <w:pPr>
        <w:ind w:left="420"/>
      </w:pPr>
      <w:r>
        <w:t xml:space="preserve">1. vorzuschreiben, dass Erzeugnisse aus Weintrauben von Rebpflanzungen, die entgegen den Vorschriften dieses Gesetzes oder den auf Grund dieses Gesetzes erlassenen Rechtsverordnungen über Neu- oder Wiederanpflanzungen vorgenommen worden sind, destilliert werden müssen,</w:t>
      </w:r>
    </w:p>
    <w:p>
      <w:pPr>
        <w:ind w:left="420"/>
      </w:pPr>
      <w:r>
        <w:t xml:space="preserve">2. Vorschriften zu erlassen über</w:t>
      </w:r>
    </w:p>
    <w:p>
      <w:pPr>
        <w:ind w:left="780"/>
      </w:pPr>
      <w:r>
        <w:t xml:space="preserve">a) die Voraussetzungen und das Verfahren für die Durchführung der Destillation nach Nummer 1,</w:t>
      </w:r>
    </w:p>
    <w:p>
      <w:pPr>
        <w:ind w:left="780"/>
      </w:pPr>
      <w:r>
        <w:t xml:space="preserve">b) die Erzeugung, das Verarbeiten, das Verwenden, das Verwerten oder das Inverkehrbringen von Weintrauben oder daraus hergestellten Erzeugnissen von Rebpflanzungen, die entgegen den Vorschriften dieses Gesetzes oder den auf Grund dieses Gesetzes erlassenen Rechtsverordnungen über Neu- oder Wiederanpflanzungen vorgenommen worden sind, und das Verfahren.</w:t>
      </w:r>
    </w:p>
    <w:p>
      <w:r>
        <w:t xml:space="preserve">(3) (weggefallen)</w:t>
      </w:r>
    </w:p>
    <w:p>
      <w:r>
        <w:rPr>
          <w:color w:val="555555"/>
          <w:sz w:val="17"/>
        </w:rPr>
        <w:t xml:space="preserve">Zitiervorschlag: § 4 WeinG 1994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https://recht.nulegal.eu/gesetze/WeinG%201994/4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