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WeinG 1994 — Meldungen, Übermittlung von Informationen</w:t>
      </w:r>
    </w:p>
    <w:p>
      <w:r>
        <w:rPr>
          <w:color w:val="555555"/>
          <w:sz w:val="18"/>
        </w:rPr>
        <w:t xml:space="preserve">Weingesetz</w:t>
      </w:r>
    </w:p>
    <w:p>
      <w:r>
        <w:rPr>
          <w:color w:val="555555"/>
          <w:sz w:val="18"/>
        </w:rPr>
        <w:t xml:space="preserve">Stand: 10.06.2019 (konsolidierte Textfassung, kein amtliches Inkrafttretensdatum)</w:t>
      </w:r>
    </w:p>
    <w:p>
      <w:r>
        <w:t xml:space="preserve">(1) Das Bundesministerium für Ernährung und Landwirtschaft wird ermächtigt, durch Rechtsverordnung mit Zustimmung des Bundesrates zur Sicherung einer ausreichenden Überwachung vorzuschreiben, dass und in welcher Weise</w:t>
      </w:r>
    </w:p>
    <w:p>
      <w:pPr>
        <w:ind w:left="420"/>
      </w:pPr>
      <w:r>
        <w:t xml:space="preserve">1. Vorhaben, Rebflächen zu roden oder aufzugeben, wiederzubepflanzen oder Reben neu anzupflanzen, sowie erfolgte Rodungen, Aufgaben, Wiederbepflanzungen oder Neuanpflanzungen den zuständigen Behörden zu melden sind,</w:t>
      </w:r>
    </w:p>
    <w:p>
      <w:pPr>
        <w:ind w:left="420"/>
      </w:pPr>
      <w:r>
        <w:t xml:space="preserve">1a. Flächen, die ohne Genehmigung mit Reben bepflanzt oder die entsprechend Artikel 71 Absatz 1 oder Absatz 2 Satz 1 der Verordnung (EU) Nr. 1308/2013 gerodet worden sind, und deren Umfang den zuständigen Behörden zu melden sind,</w:t>
      </w:r>
    </w:p>
    <w:p>
      <w:pPr>
        <w:ind w:left="420"/>
      </w:pPr>
      <w:r>
        <w:t xml:space="preserve">2. die Rebflächen des Betriebes, die Ertragsrebfläche, die Erntemenge nach Rebsorten und Herkunft und die vorgesehene Differenzierung der Weine, Qualitätsweine und Prädikatsweine zu melden sind,</w:t>
      </w:r>
    </w:p>
    <w:p>
      <w:pPr>
        <w:ind w:left="420"/>
      </w:pPr>
      <w:r>
        <w:t xml:space="preserve">3. Ernte, Erzeugung und Bestand an Erzeugnissen zu melden sind; dabei können für Bestandsmeldungen, auch zu Zwecken der Marktbeobachtung, weitere Untergliederungen und Angaben, als in den Rechtsakten der Europäischen Gemeinschaft oder der Europäischen Union vorgesehen, vorgeschrieben werden,</w:t>
      </w:r>
    </w:p>
    <w:p>
      <w:pPr>
        <w:ind w:left="420"/>
      </w:pPr>
      <w:r>
        <w:t xml:space="preserve">4. die Menge der an andere abgegebenen, verwendeten oder verwerteten Erzeugnisse zu melden sind,</w:t>
      </w:r>
    </w:p>
    <w:p>
      <w:pPr>
        <w:ind w:left="420"/>
      </w:pPr>
      <w:r>
        <w:t xml:space="preserve">5. zur Ausfuhr bestimmte Erzeugnisse, die mit im Inland nicht zulässigen Bezeichnungen, sonstigen Angaben oder Aufmachungen versehen sind, zu melden sind,</w:t>
      </w:r>
    </w:p>
    <w:p>
      <w:pPr>
        <w:ind w:left="420"/>
      </w:pPr>
      <w:r>
        <w:t xml:space="preserve">6. die Anwendung von Behandlungsverfahren oder der Zusatz von Stoffen zu melden sind,</w:t>
      </w:r>
    </w:p>
    <w:p>
      <w:pPr>
        <w:ind w:left="420"/>
      </w:pPr>
      <w:r>
        <w:t xml:space="preserve">7. das Herabstufen eines Qualitätsweines oder eines Prädikatsweines auf der Erzeugerstufe zu melden ist.</w:t>
      </w:r>
    </w:p>
    <w:p>
      <w:r>
        <w:t xml:space="preserve">(1a) Das Bundesministerium für Ernährung und Landwirtschaft wird ferner ermächtigt, durch Rechtsverordnung mit Zustimmung des Bundesrates, soweit es zum Schutz der Gesundheit der Verbraucherin oder des Verbrauchers erforderlich ist, vorzuschreiben, dass, zu welchem Zeitpunkt und in welcher Weise derjenige, der Grund zu der Annahme hat, dass ein von ihm hergestelltes, behandeltes, eingeführtes oder in den Verkehr gebrachtes Erzeugnis den unmittelbar geltenden Rechtsakten der Europäischen Gemeinschaft oder der Europäischen Union im Anwendungsbereich dieses Gesetzes, diesem Gesetz oder den auf Grund dieses Gesetzes erlassenen Rechtsverordnungen nicht entspricht, die für die Überwachung zuständige Behörde</w:t>
      </w:r>
    </w:p>
    <w:p>
      <w:pPr>
        <w:ind w:left="420"/>
      </w:pPr>
      <w:r>
        <w:t xml:space="preserve">1. darüber und über die Maßnahmen zu unterrichten hat, die getroffen worden sind, um eine Gefahr für die menschliche Gesundheit zu verhindern,</w:t>
      </w:r>
    </w:p>
    <w:p>
      <w:pPr>
        <w:ind w:left="420"/>
      </w:pPr>
      <w:r>
        <w:t xml:space="preserve">2. über Maßnahmen zu unterrichten hat, die getroffen worden sind, um das betreffende Erzeugnis zurückzurufen.</w:t>
      </w:r>
    </w:p>
    <w:p>
      <w:r>
        <w:t xml:space="preserve">Eine</w:t>
      </w:r>
    </w:p>
    <w:p>
      <w:pPr>
        <w:ind w:left="420"/>
      </w:pPr>
      <w:r>
        <w:t xml:space="preserve">1. Unterrichtung nach Artikel 19 Abs. 1 oder 3 Satz 1 der Verordnung (EG) Nr. 178/2002,</w:t>
      </w:r>
    </w:p>
    <w:p>
      <w:pPr>
        <w:ind w:left="420"/>
      </w:pPr>
      <w:r>
        <w:t xml:space="preserve">2. Übermittlung nach § 31 Abs. 2a Satz 1 oder nach Artikel 18 Abs. 3 Satz 2 der Verordnung (EG) Nr. 178/2002,</w:t>
      </w:r>
    </w:p>
    <w:p>
      <w:pPr>
        <w:ind w:left="420"/>
      </w:pPr>
      <w:r>
        <w:t xml:space="preserve">3. Unterrichtung auf Grund einer Rechtsverordnung nach Satz 1</w:t>
      </w:r>
    </w:p>
    <w:p>
      <w:r>
        <w:t xml:space="preserve">darf nicht zur strafrechtlichen Verfolgung des Unterrichtenden oder für ein Verfahren nach dem Gesetz über Ordnungswidrigkeiten gegen den Unterrichtenden verwendet werden.</w:t>
      </w:r>
    </w:p>
    <w:p>
      <w:r>
        <w:t xml:space="preserve">(1b) Das Bundesministerium für Ernährung und Landwirtschaft wird weiter ermächtigt, durch Rechtsverordnung mit Zustimmung des Bundesrates, soweit es zum Schutz der Verbraucherin oder des Verbrauchers erforderlich ist, vorzuschreiben, dass, zu welchem Zeitpunkt und in welcher Weise ein Lebensmittelunternehmer, der Grund zu der Annahme hat, dass ein von einem anderen Lebensmittelunternehmer in den Verkehr gebrachtes Erzeugnis, das für ihn bestimmt ist und über das er die tatsächliche unmittelbare Sachherrschaft erlangt hat oder das ihm angeliefert worden ist, einem Verkehrsverbot nach Artikel 14 Abs. 1 der Verordnung (EG) Nr. 178/2002 unterliegt, die für die Überwachung zuständige Behörde darüber und über hinsichtlich des Erzeugnisses getroffene oder beabsichtigte Maßnahmen zu unterrichten hat.</w:t>
      </w:r>
    </w:p>
    <w:p>
      <w:r>
        <w:t xml:space="preserve">(2) Das Bundesministerium für Ernährung und Landwirtschaft wird ermächtigt, durch Rechtsverordnung, soweit dies zur Durchführung von für den Weinbau und die Weinwirtschaft anwendbaren Rechtsakten der Europäischen Gemeinschaft oder der Europäischen Union erforderlich ist, Vorschriften über die Übermittlung von anonymisierten Informationen durch die zuständigen obersten Landesbehörden an das Bundesministerium für Ernährung, Landwirtschaft und Forsten oder die Bundesanstalt für Landwirtschaft und Ernährung zu erlassen. Es kann dabei insbesondere vorschreiben, dass und in welcher Weise zur Aufstellung über das Produktionspotential erforderliche Angaben zu übermitteln sind.</w:t>
      </w:r>
    </w:p>
    <w:p>
      <w:r>
        <w:rPr>
          <w:color w:val="555555"/>
          <w:sz w:val="17"/>
        </w:rPr>
        <w:t xml:space="preserve">Zitiervorschlag: § 33 WeinG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https://recht.nulegal.eu/gesetze/WeinG%201994/33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