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WeinG 1994 — Rückstandsbeobachtung bei geernteten Weintrauben</w:t>
      </w:r>
    </w:p>
    <w:p>
      <w:r>
        <w:rPr>
          <w:color w:val="555555"/>
          <w:sz w:val="18"/>
        </w:rPr>
        <w:t xml:space="preserve">Weingesetz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nach dem Lebensmittel- und Futtermittelgesetzbuch die Beobachtung der Rückstandssituation bei Lebensmitteln (Lebensmittel-Monitoring) vorgesehen ist, findet dieses auch auf geerntete Weintrauben Anwendung.</w:t>
      </w:r>
    </w:p>
    <w:p>
      <w:r>
        <w:rPr>
          <w:color w:val="555555"/>
          <w:sz w:val="17"/>
        </w:rPr>
        <w:t xml:space="preserve">Zitiervorschlag: § 32 WeinG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https://recht.nulegal.eu/gesetze/WeinG%201994/32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