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WeinG 1994 — Ermächtigungen</w:t>
      </w:r>
    </w:p>
    <w:p>
      <w:r>
        <w:rPr>
          <w:color w:val="555555"/>
          <w:sz w:val="18"/>
        </w:rPr>
        <w:t xml:space="preserve">Weingesetz</w:t>
      </w:r>
    </w:p>
    <w:p>
      <w:r>
        <w:rPr>
          <w:color w:val="555555"/>
          <w:sz w:val="18"/>
        </w:rPr>
        <w:t xml:space="preserve">Stand: 10.06.2019 (konsolidierte Textfassung, kein amtliches Inkrafttretensdatum)</w:t>
      </w:r>
    </w:p>
    <w:p>
      <w:r>
        <w:t xml:space="preserve">(1) Das Bundesministerium für Ernährung und Landwirtschaft wird ermächtigt, durch Rechtsverordnung mit Zustimmung des Bundesrates zur Sicherung und Steigerung der Qualität für Qualitätsschaumwein, Qualitätswein, Sekt b.A., Qualitätslikörwein b.A., Qualitätsperlwein b.A. und Prädikatswein</w:t>
      </w:r>
    </w:p>
    <w:p>
      <w:pPr>
        <w:ind w:left="420"/>
      </w:pPr>
      <w:r>
        <w:t xml:space="preserve">1. vorzuschreiben, unter welchen weiteren Voraussetzungen die amtliche Prüfungsnummer zuzuteilen ist; dabei sind insbesondere die Anforderungen an das Erzeugnis oder seine Vorerzeugnisse und die zulässigen Verarbeitungs- und Behandlungsverfahren zu regeln,</w:t>
      </w:r>
    </w:p>
    <w:p>
      <w:pPr>
        <w:ind w:left="420"/>
      </w:pPr>
      <w:r>
        <w:t xml:space="preserve">2. vorzuschreiben, dass bei Prädikatswein der natürliche Alkoholgehalt amtlich festzustellen ist,</w:t>
      </w:r>
    </w:p>
    <w:p>
      <w:pPr>
        <w:ind w:left="420"/>
      </w:pPr>
      <w:r>
        <w:t xml:space="preserve">3. das Prüfungsverfahren und weitere Einzelheiten der Kontrolle der Produktspezifikationen zu regeln,</w:t>
      </w:r>
    </w:p>
    <w:p>
      <w:pPr>
        <w:ind w:left="420"/>
      </w:pPr>
      <w:r>
        <w:t xml:space="preserve">4. vorzuschreiben, in welcher Weise die amtliche Prüfungsnummer anzugeben ist,</w:t>
      </w:r>
    </w:p>
    <w:p>
      <w:pPr>
        <w:ind w:left="420"/>
      </w:pPr>
      <w:r>
        <w:t xml:space="preserve">5. vorzuschreiben, unter welchen Voraussetzungen die amtliche Prüfungsnummer zurückzunehmen ist,</w:t>
      </w:r>
    </w:p>
    <w:p>
      <w:pPr>
        <w:ind w:left="420"/>
      </w:pPr>
      <w:r>
        <w:t xml:space="preserve">6. vorzuschreiben, unter welchen Voraussetzungen ein Qualitätswein oder Prädikatswein bei der amtlichen Qualitätsweinprüfung zu einem anderen Erzeugnis, insbesondere zu Wein, herabgestuft werden kann.</w:t>
      </w:r>
    </w:p>
    <w:p>
      <w:r>
        <w:t xml:space="preserve">(2) Das Bundesministerium für Ernährung und Landwirtschaft wird ermächtigt, durch Rechtsverordnung mit Zustimmung des Bundesrates, soweit dies den Interessen des Verbrauchers dient oder ein wirtschaftliches Bedürfnis besteht und Interessen des Verbrauchers nicht entgegenstehen, Ausnahmen von § 19 Abs. 1 und § 20 Abs. 1 zuzulassen.</w:t>
      </w:r>
    </w:p>
    <w:p>
      <w:r>
        <w:t xml:space="preserve">(3) Die Landesregierungen bestimmen für die einzelnen Qualitätsweine, Prädikatsweine, Qualitätslikörweine b.A., Qualitätsperlweine b.A. und Sekte b.A. durch Rechtsverordnung über die in auf Grund des Absatzes 1 erlassenen Rechtsverordnungen enthaltenen Voraussetzungen hinaus weitere Grenzwerte für charakteristische Faktoren, soweit dies zur Durchführung von Rechtsakten der Europäischen Gemeinschaft oder der Europäischen Union erforderlich ist.</w:t>
      </w:r>
    </w:p>
    <w:p>
      <w:r>
        <w:rPr>
          <w:color w:val="555555"/>
          <w:sz w:val="17"/>
        </w:rPr>
        <w:t xml:space="preserve">Zitiervorschlag: § 21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