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WeinFöGewV — Duldungs-, Mitwirkungs- und Aufbewahrungspflichten</w:t>
      </w:r>
    </w:p>
    <w:p>
      <w:r>
        <w:rPr>
          <w:color w:val="555555"/>
          <w:sz w:val="18"/>
        </w:rPr>
        <w:t xml:space="preserve">Weinförderverordnung</w:t>
      </w:r>
    </w:p>
    <w:p>
      <w:r>
        <w:rPr>
          <w:color w:val="555555"/>
          <w:sz w:val="18"/>
        </w:rPr>
        <w:t xml:space="preserve">Stand: 16.11.2023 (konsolidierte Textfassung, kein amtliches Inkrafttretensdatum)</w:t>
      </w:r>
    </w:p>
    <w:p>
      <w:r>
        <w:t xml:space="preserve">(1) Begünstigte von Förderungen sind verpflichtet, zum Zwecke der Kontrollen nach Abschnitt 4 den zuständigen Stellen im Rahmen ihrer Zuständigkeit</w:t>
      </w:r>
    </w:p>
    <w:p>
      <w:pPr>
        <w:ind w:left="420"/>
      </w:pPr>
      <w:r>
        <w:t xml:space="preserve">1. das Betreten der Geschäfts-, Betriebs- und Lagerräume sowie der Betriebsflächen während der Geschäfts- und Betriebszeiten zu gestatten,</w:t>
      </w:r>
    </w:p>
    <w:p>
      <w:pPr>
        <w:ind w:left="420"/>
      </w:pPr>
      <w:r>
        <w:t xml:space="preserve">2. auf Verlangen die in Betracht kommenden Bücher, Aufzeichnungen, Belege, Schriftstücke, Daten und sonstigen Unterlagen zur Einsicht vorzulegen,</w:t>
      </w:r>
    </w:p>
    <w:p>
      <w:pPr>
        <w:ind w:left="420"/>
      </w:pPr>
      <w:r>
        <w:t xml:space="preserve">3. Auskunft zu erteilen und</w:t>
      </w:r>
    </w:p>
    <w:p>
      <w:pPr>
        <w:ind w:left="420"/>
      </w:pPr>
      <w:r>
        <w:t xml:space="preserve">4. die erforderliche Unterstützung zu gewähren.</w:t>
      </w:r>
    </w:p>
    <w:p>
      <w:r>
        <w:t xml:space="preserve">Bei automatischer Buchführung sind die in Satz 1 genannten Auskunftspflichtigen verpflichtet, auf ihre Kosten Listen mit den erforderlichen Angaben auszudrucken, sofern die zuständige Stelle dies verlangt.</w:t>
      </w:r>
    </w:p>
    <w:p>
      <w:r>
        <w:t xml:space="preserve">(2) Für die Aufbewahrungspflichten gelten die einschlägigen unionsrechtlichen Regelungen.</w:t>
      </w:r>
    </w:p>
    <w:p>
      <w:r>
        <w:rPr>
          <w:color w:val="555555"/>
          <w:sz w:val="17"/>
        </w:rPr>
        <w:t xml:space="preserve">Zitiervorschlag: § 17 WeinFöGewV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https://recht.nulegal.eu/gesetze/WeinF%C3%B6GewV/17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