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WeinFöGewV — Zweckbindungsfrist</w:t>
      </w:r>
    </w:p>
    <w:p>
      <w:r>
        <w:rPr>
          <w:color w:val="555555"/>
          <w:sz w:val="18"/>
        </w:rPr>
        <w:t xml:space="preserve">Weinförderverordnung</w:t>
      </w:r>
    </w:p>
    <w:p>
      <w:r>
        <w:rPr>
          <w:color w:val="555555"/>
          <w:sz w:val="18"/>
        </w:rPr>
        <w:t xml:space="preserve">Stand: 25.10.2024 (konsolidierte Textfassung, kein amtliches Inkrafttretensdatum)</w:t>
      </w:r>
    </w:p>
    <w:p>
      <w:r>
        <w:t xml:space="preserve">Für alle im Rahmen einer Maßnahme nach § 1 Absatz 2 Nummer 2 und 6 erfolgten Förderungen zum Erwerb materieller und immaterieller Vermögenswerte gilt eine Zweckbindungsfrist von fünf Jahren. Im Falle von Maßnahmen nach § 1 Absatz 2 Nummer 1 gilt Entsprechendes für die Installation von Tropfbewässerungsanlagen. Innerhalb der Zweckbindungsfrist darf ein Vermögenswert nur nach der im Antrag beschriebenen Art und Weise verwendet werden.</w:t>
      </w:r>
    </w:p>
    <w:p>
      <w:r>
        <w:rPr>
          <w:color w:val="555555"/>
          <w:sz w:val="17"/>
        </w:rPr>
        <w:t xml:space="preserve">Zitiervorschlag: § 13 WeinFöGewV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https://recht.nulegal.eu/gesetze/WeinF%C3%B6GewV/13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