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WeinAlkoAbsV — Anzeigepflichten</w:t>
      </w:r>
    </w:p>
    <w:p>
      <w:r>
        <w:rPr>
          <w:color w:val="555555"/>
          <w:sz w:val="18"/>
        </w:rPr>
        <w:t xml:space="preserve">Wein-Alkohol-Absatz-Verordnung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Verwender oder Verarbeiter hat der überwachenden Stelle nach § 3 Abs. 2 das Ende der Verwendung oder Verarbeitung unverzüglich schriftlich in dreifacher Ausfertigung anzuzeigen. In der Anzeige sind anzugeben</w:t>
      </w:r>
    </w:p>
    <w:p>
      <w:pPr>
        <w:ind w:left="420"/>
      </w:pPr>
      <w:r>
        <w:t xml:space="preserve">1. die verwendete oder verarbeitete Alkoholmenge,</w:t>
      </w:r>
    </w:p>
    <w:p>
      <w:pPr>
        <w:ind w:left="420"/>
      </w:pPr>
      <w:r>
        <w:t xml:space="preserve">2. die Nummer des Abholscheins (§ 4 Abs. 1 Satz 2), auf den sich die Anzeige bezieht, und</w:t>
      </w:r>
    </w:p>
    <w:p>
      <w:pPr>
        <w:ind w:left="780"/>
      </w:pPr>
      <w:r>
        <w:t xml:space="preserve">a) im Falle der Verwendung die Art der Verwendung oder</w:t>
      </w:r>
    </w:p>
    <w:p>
      <w:pPr>
        <w:ind w:left="780"/>
      </w:pPr>
      <w:r>
        <w:t xml:space="preserve">b) im Falle der Verarbeitung Art, Menge und Alkoholgehalt der Verarbeitungserzeugnisse, etwaiger Nebenerzeugnisse und Abfälle.</w:t>
      </w:r>
    </w:p>
    <w:p>
      <w:r>
        <w:t xml:space="preserve">Die überwachende Stelle nach § 3 Abs. 2 kann, soweit im Einzelfall erforderlich, weitere Angaben fordern.</w:t>
      </w:r>
    </w:p>
    <w:p>
      <w:r>
        <w:rPr>
          <w:color w:val="555555"/>
          <w:sz w:val="17"/>
        </w:rPr>
        <w:t xml:space="preserve">Zitiervorschlag: § 6 WeinAlkoAbsV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https://recht.nulegal.eu/gesetze/WeinAlkoAbsV/6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