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WeinAlkoAbsV — Verwendung oder Verarbeitung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Alkohol aus einem Interventionslager im Geltungsbereich dieser Verordnung verwendet oder verarbeitet werden, so hat der Verwender oder Verarbeiter unverzüglich nach jeder Zuschlagserteilung der überwachenden Stelle nach § 3 Abs. 2 mitzuteilen</w:t>
      </w:r>
    </w:p>
    <w:p>
      <w:pPr>
        <w:ind w:left="420"/>
      </w:pPr>
      <w:r>
        <w:t xml:space="preserve">1. die Betriebsstätte, in der die Verwendung oder Verarbeitung erfolgen soll (Verwendungs- oder Verarbeitungsbetrieb),</w:t>
      </w:r>
    </w:p>
    <w:p>
      <w:pPr>
        <w:ind w:left="420"/>
      </w:pPr>
      <w:r>
        <w:t xml:space="preserve">2. Beginn und Ende der Beförderung des erworbenen Alkohols vom Interventionslager zum Verwendungs- oder Verarbeitungsbetrieb, die nach den Vorschriften des Alkoholsteuergesetzes und den dazu ergangenen Ausführungsbestimmungen im Steueraussetzungsverfahren zu erfolgen hat,</w:t>
      </w:r>
    </w:p>
    <w:p>
      <w:pPr>
        <w:ind w:left="420"/>
      </w:pPr>
      <w:r>
        <w:t xml:space="preserve">3. Beginn und Ende des Zeitraums, in der die Verwendung oder Verarbeitung stattfinden soll.</w:t>
      </w:r>
    </w:p>
    <w:p>
      <w:r>
        <w:t xml:space="preserve">Der Mitteilung ist der von der Bundesanstalt ausgestellte Abholschein beizufügen.</w:t>
      </w:r>
    </w:p>
    <w:p>
      <w:r>
        <w:t xml:space="preserve">(2) Die Übernahme des erworbenen Alkohols im Verwendungs- oder Verarbeitungsbetrieb darf erst erfolgen, nachdem die überwachende Stelle nach § 3 Abs. 2 vor Ort eine materielle Überprüfung der transportierten Alkoholmenge durchgeführt hat. Der Verwender oder Verarbeiter hat den erworbenen Alkohol unverzüglich nach der Übernahme in einen in dem Verwendungs- oder Verarbeitungsbetrieb gelegenen oder von der überwachenden Stelle nach § 3 Abs. 2 zugelassenen Lagerraum zu verbringen und bis zur Verwendung oder Verarbeitung in den ursprünglichen Behältnissen zu belassen. In Tankwagen bezogener Alkohol ist in von der überwachenden Stelle nach § 3 Abs. 2 zugelassene Lagerbehältnisse zu verbringen. Soweit es sich um ein nach § 2a zugelassenes Unternehmen handelt, sind die in der Zulassung aufgeführten Lagermöglichkeiten in Anspruch zu nehmen.</w:t>
      </w:r>
    </w:p>
    <w:p>
      <w:r>
        <w:t xml:space="preserve">(3) Auf Verlangen der überwachenden Stelle nach § 3 Abs. 2 hat der Verwender oder Verarbeiter</w:t>
      </w:r>
    </w:p>
    <w:p>
      <w:pPr>
        <w:ind w:left="420"/>
      </w:pPr>
      <w:r>
        <w:t xml:space="preserve">1. einen Orts- und Lageplan der Betriebsräume, in denen der Alkohol gelagert und verwendet oder verarbeitet werden soll, und</w:t>
      </w:r>
    </w:p>
    <w:p>
      <w:pPr>
        <w:ind w:left="420"/>
      </w:pPr>
      <w:r>
        <w:t xml:space="preserve">2. eine Beschreibung der vorgesehenen Verwendung oder Verarbeitung, im Falle der Verarbeitung unter Angabe von Art und Menge der Zutaten sowie der voraussichtlichen Ausbeute,</w:t>
      </w:r>
    </w:p>
    <w:p>
      <w:r>
        <w:t xml:space="preserve">vorzulegen, sofern dies nicht bereits nach dem Alkoholsteuergesetz sowie aus den zu seiner Ausführung erlassenen Rechtsverordnungen erforderlich ist.</w:t>
      </w:r>
    </w:p>
    <w:p>
      <w:r>
        <w:t xml:space="preserve">(4) Die überwachende Stelle nach § 3 Abs. 2 kann dem Verwender oder Verarbeiter weitere Auflagen erteilen, soweit es der Überwachungszweck erfordert.</w:t>
      </w:r>
    </w:p>
    <w:p>
      <w:r>
        <w:rPr>
          <w:color w:val="555555"/>
          <w:sz w:val="17"/>
        </w:rPr>
        <w:t xml:space="preserve">Zitiervorschlag: § 4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