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WeinAlkoAbsV — Zuständigkeit</w:t>
      </w:r>
    </w:p>
    <w:p>
      <w:r>
        <w:rPr>
          <w:color w:val="555555"/>
          <w:sz w:val="18"/>
        </w:rPr>
        <w:t xml:space="preserve">Wein-Alkohol-Absatz-Verordnung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Durchführung dieser Verordnung und der in § 1 genannten Rechtsakte ist die Bundesanstalt für Landwirtschaft und Ernährung (Bundesanstalt), soweit nicht nach Maßgabe dieser Verordnung die Bundesfinanzverwaltung zuständig ist.</w:t>
      </w:r>
    </w:p>
    <w:p>
      <w:r>
        <w:rPr>
          <w:color w:val="555555"/>
          <w:sz w:val="17"/>
        </w:rPr>
        <w:t xml:space="preserve">Zitiervorschlag: § 2 WeinAlkoAbsV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https://recht.nulegal.eu/gesetze/WeinAlkoAbsV/2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