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WeinAlkoAbsV — (Inkrafttreten)</w:t>
      </w:r>
    </w:p>
    <w:p>
      <w:r>
        <w:rPr>
          <w:color w:val="555555"/>
          <w:sz w:val="18"/>
        </w:rPr>
        <w:t xml:space="preserve">Wein-Alkohol-Absatz-Verordnung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 WeinAlkoAbsV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https://recht.nulegal.eu/gesetze/WeinAlkoAbsV/13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