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WeinAlkoAbsV — Muster, Vordrucke</w:t>
      </w:r>
    </w:p>
    <w:p>
      <w:r>
        <w:rPr>
          <w:color w:val="555555"/>
          <w:sz w:val="18"/>
        </w:rPr>
        <w:t xml:space="preserve">Wein-Alkohol-Absatz-Verordnung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Mitteilung nach § 4 Abs. 1, die Anzeige nach § 6 Abs. 1 sowie den Antrag und die Anmeldung nach § 9 Abs. 2 kann das Bundesministerium der Finanzen Muster in der "Vorschriftensammlung Bundesfinanzverwaltung" bekannt geben oder Vordrucke bei den überwachenden Stellen nach § 3 Abs. 2 bereithalten . Soweit Muster bekannt gegeben oder Vordrucke bereitgehalten werden, sind diese zu verwenden.</w:t>
      </w:r>
    </w:p>
    <w:p>
      <w:r>
        <w:rPr>
          <w:color w:val="555555"/>
          <w:sz w:val="17"/>
        </w:rPr>
        <w:t xml:space="preserve">Zitiervorschlag: § 12 WeinAlkoAbsV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https://recht.nulegal.eu/gesetze/WeinAlkoAbsV/12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