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WeinAlkoAbsV — Anwendungsbereich</w:t>
      </w:r>
    </w:p>
    <w:p>
      <w:r>
        <w:rPr>
          <w:color w:val="555555"/>
          <w:sz w:val="18"/>
        </w:rPr>
        <w:t xml:space="preserve">Wein-Alkohol-Absatz-Verordnung</w:t>
      </w:r>
    </w:p>
    <w:p>
      <w:r>
        <w:rPr>
          <w:color w:val="555555"/>
          <w:sz w:val="18"/>
        </w:rPr>
        <w:t xml:space="preserve">Stand: 10.06.2019 (konsolidierte Textfassung, kein amtliches Inkrafttretensdatum)</w:t>
      </w:r>
    </w:p>
    <w:p>
      <w:r>
        <w:t xml:space="preserve">Die Vorschriften dieser Verordnung gelten für die Durchführung der Rechtsakte des Rates und der Kommission der Europäischen Gemeinschaften über den Absatz von Alkohol aus Destillationen im Rahmen der gemeinsamen Marktorganisation für Wein sowie seine Verwendung, Verarbeitung oder Ausfuhr. Die Vorschriften des Alkoholsteuergesetzes und der zu seiner Ausführung erlassenen Rechtsverordnungen bleiben unberührt.</w:t>
      </w:r>
    </w:p>
    <w:p>
      <w:r>
        <w:rPr>
          <w:color w:val="555555"/>
          <w:sz w:val="17"/>
        </w:rPr>
        <w:t xml:space="preserve">Zitiervorschlag: § 1 WeinAlkoAbsV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https://recht.nulegal.eu/gesetze/WeinAlkoAbsV/1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