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WeinASachV</w:t>
      </w:r>
    </w:p>
    <w:p>
      <w:r>
        <w:rPr>
          <w:color w:val="555555"/>
          <w:sz w:val="18"/>
        </w:rPr>
        <w:t xml:space="preserve">Weinkonsum-Auswirkungs-Sachverständigenausschuss-Verordnung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3c Absatz 2 Satz 1 des Weingesetzes in der Fassung der Bekanntmachung vom 18. Januar 2011 (BGBl. I S. 66), der durch Artikel 1 Nummer 6 des Gesetzes vom 2. Oktober 2014 (BGBl. I S. 1586) eingefügt worden ist, verordnet das Bundesministerium für Ernährung und Landwirtschaft im Einvernehmen mit dem Bundesministerium für Gesundheit:</w:t>
      </w:r>
    </w:p>
    <w:p>
      <w:r>
        <w:rPr>
          <w:color w:val="555555"/>
          <w:sz w:val="17"/>
        </w:rPr>
        <w:t xml:space="preserve">Zitiervorschlag: Eingangsformel WeinASachV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https://recht.nulegal.eu/gesetze/WeinASachV/eingangsformel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