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WeinASachV — Inkrafttreten</w:t>
      </w:r>
    </w:p>
    <w:p>
      <w:r>
        <w:rPr>
          <w:color w:val="555555"/>
          <w:sz w:val="18"/>
        </w:rPr>
        <w:t xml:space="preserve">Weinkonsum-Auswirkungs-Sachverständigenausschuss-Verordnung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6 WeinASachV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https://recht.nulegal.eu/gesetze/WeinASachV/6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