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WeinASachV — Ehrenamtliche Tätigkeit, Verfahrensbestimmungen</w:t>
      </w:r>
    </w:p>
    <w:p>
      <w:r>
        <w:rPr>
          <w:color w:val="555555"/>
          <w:sz w:val="18"/>
        </w:rPr>
        <w:t xml:space="preserve">Weinkonsum-Auswirkungs-Sachverständigenausschuss-Verordnung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Mitglieder und Ersatzmitglieder üben ihre Tätigkeit ehrenamtlich aus.</w:t>
      </w:r>
    </w:p>
    <w:p>
      <w:r>
        <w:t xml:space="preserve">(2) Die §§ 83 bis 86, 89 bis 91 und 93 des Verwaltungsverfahrensgesetzes gelten entsprechend.</w:t>
      </w:r>
    </w:p>
    <w:p>
      <w:r>
        <w:rPr>
          <w:color w:val="555555"/>
          <w:sz w:val="17"/>
        </w:rPr>
        <w:t xml:space="preserve">Zitiervorschlag: § 5 WeinASachV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https://recht.nulegal.eu/gesetze/WeinASachV/5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