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WeinASachV — Weitere Teilnahme an den Sitzungen</w:t>
      </w:r>
    </w:p>
    <w:p>
      <w:r>
        <w:rPr>
          <w:color w:val="555555"/>
          <w:sz w:val="18"/>
        </w:rPr>
        <w:t xml:space="preserve">Weinkonsum-Auswirkungs-Sachverständigenausschuss-Verordnung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Vertreter des Bundesministeriums für Ernährung und Landwirtschaft und des Bundesministeriums für Gesundheit können jederzeit an den Sitzungen des Sachverständigenausschusses teilnehmen.</w:t>
      </w:r>
    </w:p>
    <w:p>
      <w:r>
        <w:t xml:space="preserve">(2) Neben dem oder der Vorsitzenden können auch weitere Vertreter oder Vertreterinnen der Bundesanstalt teilnehmen.</w:t>
      </w:r>
    </w:p>
    <w:p>
      <w:r>
        <w:rPr>
          <w:color w:val="555555"/>
          <w:sz w:val="17"/>
        </w:rPr>
        <w:t xml:space="preserve">Zitiervorschlag: § 3 WeinASachV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https://recht.nulegal.eu/gesetze/WeinASachV/3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