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WeinÜV 1995 — Zollanschlüsse, Freihäfen, vorübergehende Ausfuhr (zu § 36 Abs. 1 Satz 1 und 2 Nr. 6 i.V.m. § 54 Abs. 1 des Weingesetzes)</w:t>
      </w:r>
    </w:p>
    <w:p>
      <w:r>
        <w:rPr>
          <w:color w:val="555555"/>
          <w:sz w:val="18"/>
        </w:rPr>
        <w:t xml:space="preserve">Wein-Überwachungsverordnung</w:t>
      </w:r>
    </w:p>
    <w:p>
      <w:r>
        <w:rPr>
          <w:color w:val="555555"/>
          <w:sz w:val="18"/>
        </w:rPr>
        <w:t xml:space="preserve">Stand: 10.06.2019 (konsolidierte Textfassung, kein amtliches Inkrafttretensdatum)</w:t>
      </w:r>
    </w:p>
    <w:p>
      <w:r>
        <w:t xml:space="preserve">(1) Die amtliche Untersuchung und Prüfung kann entfallen bei Erzeugnissen, die aus Freihäfen eingeführt werden, wenn nachgewiesen wird, dass die amtliche Untersuchung und Prüfung bereits vorgenommen worden ist und ergeben hat, dass die Erzeugnisse nach ihrer Zweckbestimmung sowie ihre Behältnisse und ihre Bezeichnung und Aufmachung den Rechtsakten der Europäischen Gemeinschaft oder Europäischen Union, dem Weingesetz und den auf Grund des Weingesetzes erlassenen Rechtsverordnungen entsprechen.</w:t>
      </w:r>
    </w:p>
    <w:p>
      <w:r>
        <w:t xml:space="preserve">(2) Zur Einfuhr bereits zugelassene Erzeugnisse bedürfen bei nur vorübergehender Ausfuhr keiner erneuten Zulassung, wenn nachgewiesen ist, dass sie zwischenzeitlich weder behandelt noch umgefüllt worden sind.</w:t>
      </w:r>
    </w:p>
    <w:p>
      <w:r>
        <w:t xml:space="preserve">(3) Die Zulassung zur Einfuhr entfällt bei den in Zollanschlüssen hergestellten Erzeugnissen, wenn sie unmittelbar aus dem Zollanschluss eingeführt werden.</w:t>
      </w:r>
    </w:p>
    <w:p>
      <w:r>
        <w:t xml:space="preserve">(4) Die Landesregierung des an den Zollanschluss angrenzenden Landes kann durch Rechtsverordnung bestimmen, dass, soweit nach Absatz 3 die Zulassung entfällt, in Zollanschlüssen hergestellte Erzeugnisse nur eingeführt werden dürfen, wenn nachgewiesen oder glaubhaft gemacht wird, dass die Erzeugnisse den in § 32 Abs. 2 Satz 1 genannten Voraussetzungen entsprechen.</w:t>
      </w:r>
    </w:p>
    <w:p>
      <w:r>
        <w:rPr>
          <w:color w:val="555555"/>
          <w:sz w:val="17"/>
        </w:rPr>
        <w:t xml:space="preserve">Zitiervorschlag: § 37 WeinÜV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https://recht.nulegal.eu/gesetze/Wein%C3%9CV%201995/37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